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64" w:type="dxa"/>
        <w:tblInd w:w="13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1258"/>
        <w:gridCol w:w="3544"/>
        <w:gridCol w:w="2693"/>
        <w:gridCol w:w="3065"/>
        <w:gridCol w:w="1020"/>
        <w:gridCol w:w="2142"/>
        <w:gridCol w:w="1542"/>
      </w:tblGrid>
      <w:tr w:rsidR="00825BD3" w:rsidTr="00497EB5">
        <w:trPr>
          <w:trHeight w:val="343"/>
        </w:trPr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952E86" w:rsidRDefault="00825BD3">
            <w:pPr>
              <w:spacing w:after="0"/>
              <w:ind w:left="104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Catch Up Funding and National Tutoring </w:t>
            </w:r>
            <w:proofErr w:type="spellStart"/>
            <w:r>
              <w:rPr>
                <w:sz w:val="24"/>
                <w:u w:val="none"/>
              </w:rPr>
              <w:t>Programme</w:t>
            </w:r>
            <w:proofErr w:type="spellEnd"/>
            <w:r>
              <w:rPr>
                <w:sz w:val="24"/>
                <w:u w:val="none"/>
              </w:rPr>
              <w:t xml:space="preserve"> 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6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952E86" w:rsidRDefault="00952E86">
            <w:pPr>
              <w:spacing w:after="160"/>
              <w:ind w:left="0" w:firstLine="0"/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52E86" w:rsidRDefault="00952E86">
            <w:pPr>
              <w:spacing w:after="160"/>
              <w:ind w:left="0" w:firstLine="0"/>
            </w:pPr>
          </w:p>
        </w:tc>
      </w:tr>
      <w:tr w:rsidR="00825BD3" w:rsidTr="0008369D">
        <w:trPr>
          <w:trHeight w:val="99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ind w:left="104" w:firstLine="0"/>
            </w:pPr>
            <w:r>
              <w:rPr>
                <w:sz w:val="24"/>
                <w:u w:val="none"/>
              </w:rPr>
              <w:t xml:space="preserve">Desired </w:t>
            </w:r>
          </w:p>
          <w:p w:rsidR="00952E86" w:rsidRDefault="00825BD3">
            <w:pPr>
              <w:spacing w:after="0"/>
              <w:ind w:left="104" w:firstLine="0"/>
            </w:pPr>
            <w:r>
              <w:rPr>
                <w:sz w:val="24"/>
                <w:u w:val="none"/>
              </w:rPr>
              <w:t xml:space="preserve">Outcome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6" w:firstLine="0"/>
            </w:pPr>
            <w:r>
              <w:rPr>
                <w:sz w:val="24"/>
                <w:u w:val="none"/>
              </w:rPr>
              <w:t xml:space="preserve">Action/approach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8" w:firstLine="0"/>
            </w:pPr>
            <w:r>
              <w:rPr>
                <w:sz w:val="24"/>
                <w:u w:val="none"/>
              </w:rPr>
              <w:t xml:space="preserve">What is the evidence and rationale for this choice?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8" w:firstLine="0"/>
            </w:pPr>
            <w:r>
              <w:rPr>
                <w:sz w:val="24"/>
                <w:u w:val="none"/>
              </w:rPr>
              <w:t xml:space="preserve">How will you ensure it is implemented well?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8" w:firstLine="0"/>
            </w:pPr>
            <w:r>
              <w:rPr>
                <w:sz w:val="24"/>
                <w:u w:val="none"/>
              </w:rPr>
              <w:t xml:space="preserve">Staff Lead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6" w:firstLine="0"/>
            </w:pPr>
            <w:r>
              <w:rPr>
                <w:sz w:val="24"/>
                <w:u w:val="none"/>
              </w:rPr>
              <w:t xml:space="preserve">When will you review implementation?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825BD3">
            <w:pPr>
              <w:spacing w:after="0"/>
              <w:ind w:left="106" w:firstLine="0"/>
            </w:pPr>
            <w:r>
              <w:rPr>
                <w:sz w:val="24"/>
                <w:u w:val="none"/>
              </w:rPr>
              <w:t xml:space="preserve">Costings  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825BD3" w:rsidTr="0008369D">
        <w:trPr>
          <w:trHeight w:val="2150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523305" w:rsidP="002463DC">
            <w:pPr>
              <w:spacing w:after="0"/>
              <w:ind w:left="104" w:firstLine="0"/>
              <w:rPr>
                <w:sz w:val="24"/>
                <w:szCs w:val="20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KS2 Catch up in </w:t>
            </w:r>
            <w:proofErr w:type="spellStart"/>
            <w:r w:rsidRPr="00825BD3">
              <w:rPr>
                <w:b w:val="0"/>
                <w:sz w:val="24"/>
                <w:szCs w:val="20"/>
                <w:u w:val="none"/>
              </w:rPr>
              <w:t>Maths</w:t>
            </w:r>
            <w:proofErr w:type="spellEnd"/>
            <w:r w:rsidRPr="00825BD3">
              <w:rPr>
                <w:b w:val="0"/>
                <w:sz w:val="24"/>
                <w:szCs w:val="20"/>
                <w:u w:val="non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AB0BDE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Teacher employed 1xday per week to deliver</w:t>
            </w:r>
            <w:r w:rsidR="00523305" w:rsidRPr="00825BD3">
              <w:rPr>
                <w:b w:val="0"/>
                <w:sz w:val="24"/>
                <w:szCs w:val="20"/>
                <w:u w:val="none"/>
              </w:rPr>
              <w:t xml:space="preserve"> sessions to individuals and small groups in </w:t>
            </w:r>
            <w:proofErr w:type="spellStart"/>
            <w:r w:rsidR="002463DC">
              <w:rPr>
                <w:b w:val="0"/>
                <w:sz w:val="24"/>
                <w:szCs w:val="20"/>
                <w:u w:val="none"/>
              </w:rPr>
              <w:t>Maths</w:t>
            </w:r>
            <w:proofErr w:type="spellEnd"/>
          </w:p>
          <w:p w:rsidR="008F4BB3" w:rsidRDefault="008F4BB3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  <w:p w:rsidR="008F4BB3" w:rsidRDefault="002463DC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Analysis of PIXL assessments will highlight the children most in need of ‘therapies’.</w:t>
            </w:r>
          </w:p>
          <w:p w:rsidR="008F4BB3" w:rsidRDefault="008F4BB3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  <w:p w:rsidR="008F4BB3" w:rsidRDefault="008F4BB3" w:rsidP="008F4BB3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 xml:space="preserve">Small group tutoring in </w:t>
            </w:r>
            <w:proofErr w:type="spellStart"/>
            <w:r>
              <w:rPr>
                <w:b w:val="0"/>
                <w:sz w:val="24"/>
                <w:szCs w:val="20"/>
                <w:u w:val="none"/>
              </w:rPr>
              <w:t>Maths</w:t>
            </w:r>
            <w:proofErr w:type="spellEnd"/>
            <w:r>
              <w:rPr>
                <w:b w:val="0"/>
                <w:sz w:val="24"/>
                <w:szCs w:val="20"/>
                <w:u w:val="none"/>
              </w:rPr>
              <w:t>, in groups</w:t>
            </w:r>
            <w:r w:rsidR="00B466EF">
              <w:rPr>
                <w:b w:val="0"/>
                <w:sz w:val="24"/>
                <w:szCs w:val="20"/>
                <w:u w:val="none"/>
              </w:rPr>
              <w:t xml:space="preserve"> of maximum 4, one day per week, on a needs basis.</w:t>
            </w:r>
          </w:p>
          <w:p w:rsidR="008F4BB3" w:rsidRDefault="008F4BB3" w:rsidP="008F4BB3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 xml:space="preserve">The children will </w:t>
            </w:r>
            <w:r w:rsidR="002463DC">
              <w:rPr>
                <w:b w:val="0"/>
                <w:sz w:val="24"/>
                <w:szCs w:val="20"/>
                <w:u w:val="none"/>
              </w:rPr>
              <w:t>complete</w:t>
            </w:r>
            <w:r w:rsidR="00AB0BDE">
              <w:rPr>
                <w:b w:val="0"/>
                <w:sz w:val="24"/>
                <w:szCs w:val="20"/>
                <w:u w:val="none"/>
              </w:rPr>
              <w:t xml:space="preserve"> PIXL therapies with Mrs Brattan/Mrs Grange as of the Autumn Term.</w:t>
            </w:r>
          </w:p>
          <w:p w:rsidR="0008369D" w:rsidRDefault="0008369D" w:rsidP="008F4BB3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  <w:p w:rsidR="0008369D" w:rsidRPr="00825BD3" w:rsidRDefault="0008369D" w:rsidP="008F4BB3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Research by the EEF shows small group tutoring to be effective at narrowing ‘gaps’ in children’s learning – evidence can be found here:</w:t>
            </w:r>
          </w:p>
          <w:p w:rsidR="00523305" w:rsidRDefault="002463DC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hyperlink r:id="rId7" w:history="1">
              <w:r w:rsidR="00523305" w:rsidRPr="00825BD3">
                <w:rPr>
                  <w:rStyle w:val="Hyperlink"/>
                  <w:b w:val="0"/>
                  <w:sz w:val="24"/>
                  <w:szCs w:val="20"/>
                </w:rPr>
                <w:t>https://educationendowmentfoundation.org.uk/evidence-summaries/teaching-learning-toolkit/small-group-tuition/</w:t>
              </w:r>
            </w:hyperlink>
            <w:r w:rsidR="00523305" w:rsidRPr="00825BD3">
              <w:rPr>
                <w:b w:val="0"/>
                <w:sz w:val="24"/>
                <w:szCs w:val="20"/>
                <w:u w:val="none"/>
              </w:rPr>
              <w:t xml:space="preserve"> </w:t>
            </w:r>
          </w:p>
          <w:p w:rsidR="008F4BB3" w:rsidRDefault="008F4BB3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</w:p>
          <w:p w:rsidR="008F4BB3" w:rsidRPr="00825BD3" w:rsidRDefault="008F4BB3">
            <w:pPr>
              <w:spacing w:after="0"/>
              <w:ind w:left="108" w:firstLine="0"/>
              <w:rPr>
                <w:sz w:val="24"/>
                <w:szCs w:val="20"/>
              </w:rPr>
            </w:pPr>
            <w:r>
              <w:rPr>
                <w:b w:val="0"/>
                <w:sz w:val="24"/>
                <w:szCs w:val="20"/>
                <w:u w:val="none"/>
              </w:rPr>
              <w:t xml:space="preserve">Children will return with gaps in their learning </w:t>
            </w:r>
            <w:proofErr w:type="gramStart"/>
            <w:r>
              <w:rPr>
                <w:b w:val="0"/>
                <w:sz w:val="24"/>
                <w:szCs w:val="20"/>
                <w:u w:val="none"/>
              </w:rPr>
              <w:t>as a result</w:t>
            </w:r>
            <w:proofErr w:type="gramEnd"/>
            <w:r>
              <w:rPr>
                <w:b w:val="0"/>
                <w:sz w:val="24"/>
                <w:szCs w:val="20"/>
                <w:u w:val="none"/>
              </w:rPr>
              <w:t xml:space="preserve"> of National Lockdown in Jan/Feb 2021. Small group tutoring and regular monitoring/discussions with class teachers will help to fill these gaps.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Default="00523305" w:rsidP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Regular discussion between Assistant Heads, class teachers and tutor will ensure targeted support for children in most need.</w:t>
            </w:r>
          </w:p>
          <w:p w:rsidR="008F4BB3" w:rsidRPr="00825BD3" w:rsidRDefault="008F4BB3" w:rsidP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</w:p>
          <w:p w:rsidR="00825BD3" w:rsidRDefault="00825BD3" w:rsidP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Regular review of children’s progress and attainment along with a reflective approach will ensure that, where tutoring is not effective in improving </w:t>
            </w:r>
            <w:proofErr w:type="spellStart"/>
            <w:r w:rsidRPr="00825BD3">
              <w:rPr>
                <w:b w:val="0"/>
                <w:sz w:val="24"/>
                <w:szCs w:val="20"/>
                <w:u w:val="none"/>
              </w:rPr>
              <w:t>Maths</w:t>
            </w:r>
            <w:proofErr w:type="spellEnd"/>
            <w:r w:rsidRPr="00825BD3">
              <w:rPr>
                <w:b w:val="0"/>
                <w:sz w:val="24"/>
                <w:szCs w:val="20"/>
                <w:u w:val="none"/>
              </w:rPr>
              <w:t xml:space="preserve"> attainment and progress, alternative methods </w:t>
            </w:r>
            <w:proofErr w:type="gramStart"/>
            <w:r w:rsidRPr="00825BD3">
              <w:rPr>
                <w:b w:val="0"/>
                <w:sz w:val="24"/>
                <w:szCs w:val="20"/>
                <w:u w:val="none"/>
              </w:rPr>
              <w:t>can be implemented</w:t>
            </w:r>
            <w:proofErr w:type="gramEnd"/>
            <w:r w:rsidRPr="00825BD3">
              <w:rPr>
                <w:b w:val="0"/>
                <w:sz w:val="24"/>
                <w:szCs w:val="20"/>
                <w:u w:val="none"/>
              </w:rPr>
              <w:t>.</w:t>
            </w:r>
          </w:p>
          <w:p w:rsidR="008F4BB3" w:rsidRDefault="008F4BB3" w:rsidP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</w:p>
          <w:p w:rsidR="008F4BB3" w:rsidRPr="00825BD3" w:rsidRDefault="008F4BB3" w:rsidP="00523305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 xml:space="preserve">PIXL assessment results, QLA analysis and assessment grids </w:t>
            </w:r>
            <w:proofErr w:type="gramStart"/>
            <w:r>
              <w:rPr>
                <w:b w:val="0"/>
                <w:sz w:val="24"/>
                <w:szCs w:val="20"/>
                <w:u w:val="none"/>
              </w:rPr>
              <w:t>will be shared with the tutor and regularly discussed, with progress towards targets monitored</w:t>
            </w:r>
            <w:proofErr w:type="gramEnd"/>
            <w:r>
              <w:rPr>
                <w:b w:val="0"/>
                <w:sz w:val="24"/>
                <w:szCs w:val="20"/>
                <w:u w:val="none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AB0BDE" w:rsidP="00AB0BDE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Mrs Brattan/Mrs Grange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D3" w:rsidRPr="00825BD3" w:rsidRDefault="00825BD3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Weekly during PPA sessions</w:t>
            </w:r>
          </w:p>
          <w:p w:rsidR="00825BD3" w:rsidRPr="00825BD3" w:rsidRDefault="00825BD3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Informal regular </w:t>
            </w:r>
            <w:r>
              <w:rPr>
                <w:b w:val="0"/>
                <w:sz w:val="24"/>
                <w:szCs w:val="20"/>
                <w:u w:val="none"/>
              </w:rPr>
              <w:t>discussions</w:t>
            </w:r>
            <w:r w:rsidRPr="00825BD3">
              <w:rPr>
                <w:b w:val="0"/>
                <w:sz w:val="24"/>
                <w:szCs w:val="20"/>
                <w:u w:val="none"/>
              </w:rPr>
              <w:t xml:space="preserve"> with tutor</w:t>
            </w:r>
          </w:p>
          <w:p w:rsidR="00952E86" w:rsidRDefault="00825BD3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At each assessment point </w:t>
            </w:r>
          </w:p>
          <w:p w:rsidR="00317AD4" w:rsidRDefault="00317AD4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Pupil progress meetings</w:t>
            </w:r>
          </w:p>
          <w:p w:rsidR="00317AD4" w:rsidRPr="00825BD3" w:rsidRDefault="00317AD4" w:rsidP="00825BD3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Core team PIXL meetings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86" w:rsidRPr="00825BD3" w:rsidRDefault="00497EB5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£</w:t>
            </w:r>
            <w:r w:rsidR="001C6889">
              <w:rPr>
                <w:b w:val="0"/>
                <w:sz w:val="24"/>
                <w:szCs w:val="20"/>
                <w:u w:val="none"/>
              </w:rPr>
              <w:t>8000</w:t>
            </w:r>
          </w:p>
        </w:tc>
      </w:tr>
      <w:tr w:rsidR="001C6889" w:rsidTr="0008369D">
        <w:trPr>
          <w:trHeight w:val="2150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4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Vulnerable and potentially vulnerable children’s wellbeing needs are met, meaning that they will be able to access the curriculum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Wellbeing and Sensory Suite installed, including: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Sensory tent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Calming lighting (including projector, bubble tube and fiber optics)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Floor mats and sensory flooring tiles. 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Sensory boxes with tactile items.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Alexa for customized relaxation sounds/music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Calming items (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eg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>. weighted blanket/yoga ball)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Sensory ladders and tailor-made sensory boxes linked to the OT needs of specific children)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Evidence has shown that children are suffering from increased anxiety following the most recent lockdown. 1 in 6 Primary School aged children are now suffering from anxiety compared to 1 in 10 before the Coronavirus pandemic. 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We have over 20 children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children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 in school who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have been referred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for mental health support or have seen our school therapist and OT this year. There is currently a waiting list for both of these services in school. 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Wellbeing is a fundamental building block to good learning, and should be considered as a Safety Need as part of Maslow’s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Heirarchy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 of Needs – i.e. an essential precursor to Self-Actualization or learning. Evidence from Young Minds (</w:t>
            </w:r>
            <w:hyperlink r:id="rId8" w:history="1">
              <w:r w:rsidRPr="007627CA">
                <w:rPr>
                  <w:rStyle w:val="Hyperlink"/>
                  <w:b w:val="0"/>
                  <w:sz w:val="24"/>
                  <w:szCs w:val="24"/>
                </w:rPr>
                <w:t>https://youngminds.org.</w:t>
              </w:r>
              <w:r w:rsidRPr="007627CA">
                <w:rPr>
                  <w:rStyle w:val="Hyperlink"/>
                  <w:b w:val="0"/>
                  <w:sz w:val="24"/>
                  <w:szCs w:val="24"/>
                </w:rPr>
                <w:lastRenderedPageBreak/>
                <w:t>uk/media/1428/wise-up-prioritising-wellbeing-in-schools.pdf</w:t>
              </w:r>
            </w:hyperlink>
            <w:r>
              <w:rPr>
                <w:b w:val="0"/>
                <w:sz w:val="24"/>
                <w:szCs w:val="24"/>
                <w:u w:val="none"/>
              </w:rPr>
              <w:t>) supports this concept.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 xml:space="preserve">The sensory room will be a calming space, which children will use to calm themselves before they reach a state of heightened emotions. It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can also be used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throughout the day for children who need a physical break to aid concentration. All teachers and teaching assistants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will be trained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to use this space effectively and will receive training in Emotion Coaching and running OT interventions during the Summer term 2021. 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The room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can be used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for therapy sessions with our school OT, wellbeing coach, learning mentors, SALT and other therapists.  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LP will monitor the use of the room regularly and provide training and support regularly with help from the school OT (Donna Guest) and therapist (Tamsin Moore-Jones)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SEN children have targets on IEPs, including social and emotional targets, which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 xml:space="preserve">will </w:t>
            </w:r>
            <w:r>
              <w:rPr>
                <w:b w:val="0"/>
                <w:sz w:val="24"/>
                <w:szCs w:val="24"/>
                <w:u w:val="none"/>
              </w:rPr>
              <w:lastRenderedPageBreak/>
              <w:t>be linked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to using the wellbeing/sensory room and progress towards these targets will be monitored at regular meetings between SENCO and parents/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carers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. The impact of the wellbeing/sensory room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will be discussed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at these meetings.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L Potter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Asst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 Head/ SENCO)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 Loizou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Asst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 SENCO)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ind w:left="445" w:right="136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Use of the room will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be monitored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weekly and will be reviewed at least once a term, when amendments can be made as necessary.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3"/>
              </w:numPr>
              <w:spacing w:after="0"/>
              <w:ind w:left="445" w:right="136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Effective use of the use of the sensory room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will be monitored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in individual children’s EHCPs and IEPs (at least once per term).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£2000</w:t>
            </w:r>
          </w:p>
        </w:tc>
      </w:tr>
      <w:tr w:rsidR="001C6889" w:rsidTr="0008369D">
        <w:trPr>
          <w:trHeight w:val="2150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2A1667" w:rsidRDefault="001C6889" w:rsidP="001C6889">
            <w:pPr>
              <w:spacing w:after="0"/>
              <w:ind w:left="104" w:firstLine="0"/>
              <w:rPr>
                <w:b w:val="0"/>
                <w:sz w:val="22"/>
                <w:szCs w:val="20"/>
                <w:u w:val="none"/>
              </w:rPr>
            </w:pPr>
            <w:r>
              <w:rPr>
                <w:b w:val="0"/>
                <w:sz w:val="22"/>
                <w:szCs w:val="20"/>
                <w:u w:val="none"/>
              </w:rPr>
              <w:t>Children’s phonic knowledge improved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F83705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Sarah Carter – TA to deliver phonics intervention 10hrs/week for Summer Term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F83705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Evidence from EEF of +4 months gain, for minimal cost, with maximum impact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F83705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Baseline assessment and end of term assessment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F83705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S Carter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F83705" w:rsidRDefault="001C6889" w:rsidP="001C6889">
            <w:pPr>
              <w:spacing w:after="0"/>
              <w:ind w:left="0" w:right="13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End of Summer Term – AP3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£2320</w:t>
            </w:r>
          </w:p>
        </w:tc>
      </w:tr>
      <w:tr w:rsidR="001C6889" w:rsidTr="0008369D">
        <w:trPr>
          <w:trHeight w:val="2150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825BD3" w:rsidRDefault="001C6889" w:rsidP="001C6889">
            <w:pPr>
              <w:spacing w:after="0"/>
              <w:ind w:left="104" w:firstLine="0"/>
              <w:rPr>
                <w:sz w:val="24"/>
                <w:szCs w:val="20"/>
              </w:rPr>
            </w:pPr>
            <w:bookmarkStart w:id="0" w:name="_GoBack" w:colFirst="0" w:colLast="0"/>
            <w:r w:rsidRPr="00825BD3">
              <w:rPr>
                <w:b w:val="0"/>
                <w:sz w:val="24"/>
                <w:szCs w:val="20"/>
                <w:u w:val="none"/>
              </w:rPr>
              <w:t xml:space="preserve">KS2 Catch up in </w:t>
            </w:r>
            <w:r>
              <w:rPr>
                <w:b w:val="0"/>
                <w:sz w:val="24"/>
                <w:szCs w:val="20"/>
                <w:u w:val="none"/>
              </w:rPr>
              <w:t>English</w:t>
            </w:r>
            <w:r w:rsidRPr="00825BD3">
              <w:rPr>
                <w:b w:val="0"/>
                <w:sz w:val="24"/>
                <w:szCs w:val="20"/>
                <w:u w:val="non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Teacher employed 1xday per week to deliver</w:t>
            </w:r>
            <w:r w:rsidRPr="00825BD3">
              <w:rPr>
                <w:b w:val="0"/>
                <w:sz w:val="24"/>
                <w:szCs w:val="20"/>
                <w:u w:val="none"/>
              </w:rPr>
              <w:t xml:space="preserve"> sessions to individuals and small groups in </w:t>
            </w:r>
            <w:r>
              <w:rPr>
                <w:b w:val="0"/>
                <w:sz w:val="24"/>
                <w:szCs w:val="20"/>
                <w:u w:val="none"/>
              </w:rPr>
              <w:t>English</w:t>
            </w:r>
          </w:p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Analysis of PIXL assessments will highlight the children most in need of ‘therapies’.</w:t>
            </w:r>
          </w:p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Small group tutoring in English, in groups of maximum 4, one day per week, on a needs basis.</w:t>
            </w:r>
          </w:p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The children will complete PIXL therapies with Mrs Brattan/Mrs Grange as of the Autumn Term.</w:t>
            </w:r>
          </w:p>
          <w:p w:rsidR="001C6889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  <w:p w:rsidR="001C6889" w:rsidRPr="00825BD3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825BD3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lastRenderedPageBreak/>
              <w:t>Research by the EEF shows small group tutoring to be effective at narrowing ‘gaps’ in children’s learning – evidence can be found here: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hyperlink r:id="rId9" w:history="1">
              <w:r w:rsidRPr="00825BD3">
                <w:rPr>
                  <w:rStyle w:val="Hyperlink"/>
                  <w:b w:val="0"/>
                  <w:sz w:val="24"/>
                  <w:szCs w:val="20"/>
                </w:rPr>
                <w:t>https://educationendowmentfoundation.org.uk/evidence-summaries/teaching-learning-toolkit/small-group-tuition/</w:t>
              </w:r>
            </w:hyperlink>
            <w:r w:rsidRPr="00825BD3">
              <w:rPr>
                <w:b w:val="0"/>
                <w:sz w:val="24"/>
                <w:szCs w:val="20"/>
                <w:u w:val="none"/>
              </w:rPr>
              <w:t xml:space="preserve"> 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</w:p>
          <w:p w:rsidR="001C6889" w:rsidRPr="00825BD3" w:rsidRDefault="001C6889" w:rsidP="001C6889">
            <w:pPr>
              <w:spacing w:after="0"/>
              <w:ind w:left="108" w:firstLine="0"/>
              <w:rPr>
                <w:sz w:val="24"/>
                <w:szCs w:val="20"/>
              </w:rPr>
            </w:pPr>
            <w:r>
              <w:rPr>
                <w:b w:val="0"/>
                <w:sz w:val="24"/>
                <w:szCs w:val="20"/>
                <w:u w:val="none"/>
              </w:rPr>
              <w:lastRenderedPageBreak/>
              <w:t xml:space="preserve">Children will return with gaps in their learning </w:t>
            </w:r>
            <w:proofErr w:type="gramStart"/>
            <w:r>
              <w:rPr>
                <w:b w:val="0"/>
                <w:sz w:val="24"/>
                <w:szCs w:val="20"/>
                <w:u w:val="none"/>
              </w:rPr>
              <w:t>as a result</w:t>
            </w:r>
            <w:proofErr w:type="gramEnd"/>
            <w:r>
              <w:rPr>
                <w:b w:val="0"/>
                <w:sz w:val="24"/>
                <w:szCs w:val="20"/>
                <w:u w:val="none"/>
              </w:rPr>
              <w:t xml:space="preserve"> of National Lockdown in Jan/Feb 2021. Small group tutoring and regular monitoring/discussions with class teachers will help to fill these gaps.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lastRenderedPageBreak/>
              <w:t>Regular discussion between Assistant Heads, class teachers and tutor will ensure targeted support for children in most need.</w:t>
            </w:r>
          </w:p>
          <w:p w:rsidR="001C6889" w:rsidRPr="00825BD3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Regular review of children’s progress and attainment along with a reflective approach will ensure that, where tutoring is not effective in improving English attainment and progress, alternative methods </w:t>
            </w:r>
            <w:proofErr w:type="gramStart"/>
            <w:r w:rsidRPr="00825BD3">
              <w:rPr>
                <w:b w:val="0"/>
                <w:sz w:val="24"/>
                <w:szCs w:val="20"/>
                <w:u w:val="none"/>
              </w:rPr>
              <w:t>can be implemented</w:t>
            </w:r>
            <w:proofErr w:type="gramEnd"/>
            <w:r w:rsidRPr="00825BD3">
              <w:rPr>
                <w:b w:val="0"/>
                <w:sz w:val="24"/>
                <w:szCs w:val="20"/>
                <w:u w:val="none"/>
              </w:rPr>
              <w:t>.</w:t>
            </w:r>
          </w:p>
          <w:p w:rsidR="001C6889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</w:p>
          <w:p w:rsidR="001C6889" w:rsidRPr="00825BD3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 xml:space="preserve">PIXL assessment results, QLA analysis and assessment grids </w:t>
            </w:r>
            <w:proofErr w:type="gramStart"/>
            <w:r>
              <w:rPr>
                <w:b w:val="0"/>
                <w:sz w:val="24"/>
                <w:szCs w:val="20"/>
                <w:u w:val="none"/>
              </w:rPr>
              <w:t>will be shared with the tutor and regularly discussed, with progress towards targets monitored</w:t>
            </w:r>
            <w:proofErr w:type="gramEnd"/>
            <w:r>
              <w:rPr>
                <w:b w:val="0"/>
                <w:sz w:val="24"/>
                <w:szCs w:val="20"/>
                <w:u w:val="none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825BD3" w:rsidRDefault="001C6889" w:rsidP="001C6889">
            <w:pPr>
              <w:spacing w:after="0"/>
              <w:ind w:left="108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lastRenderedPageBreak/>
              <w:t>Mrs Brattan/Mrs Grange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825BD3" w:rsidRDefault="001C6889" w:rsidP="001C6889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>Weekly during PPA sessions</w:t>
            </w:r>
          </w:p>
          <w:p w:rsidR="001C6889" w:rsidRPr="00825BD3" w:rsidRDefault="001C6889" w:rsidP="001C6889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Informal regular </w:t>
            </w:r>
            <w:r>
              <w:rPr>
                <w:b w:val="0"/>
                <w:sz w:val="24"/>
                <w:szCs w:val="20"/>
                <w:u w:val="none"/>
              </w:rPr>
              <w:t>discussions</w:t>
            </w:r>
            <w:r w:rsidRPr="00825BD3">
              <w:rPr>
                <w:b w:val="0"/>
                <w:sz w:val="24"/>
                <w:szCs w:val="20"/>
                <w:u w:val="none"/>
              </w:rPr>
              <w:t xml:space="preserve"> with tutor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 w:rsidRPr="00825BD3">
              <w:rPr>
                <w:b w:val="0"/>
                <w:sz w:val="24"/>
                <w:szCs w:val="20"/>
                <w:u w:val="none"/>
              </w:rPr>
              <w:t xml:space="preserve">At each assessment point </w:t>
            </w:r>
          </w:p>
          <w:p w:rsidR="001C6889" w:rsidRDefault="001C6889" w:rsidP="001C6889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t>Pupil progress meetings</w:t>
            </w:r>
          </w:p>
          <w:p w:rsidR="001C6889" w:rsidRPr="00825BD3" w:rsidRDefault="001C6889" w:rsidP="001C6889">
            <w:pPr>
              <w:pStyle w:val="ListParagraph"/>
              <w:numPr>
                <w:ilvl w:val="0"/>
                <w:numId w:val="1"/>
              </w:numPr>
              <w:spacing w:after="0"/>
              <w:ind w:right="136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lastRenderedPageBreak/>
              <w:t>Core team PIXL meetings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9" w:rsidRPr="00825BD3" w:rsidRDefault="001C6889" w:rsidP="001C6889">
            <w:pPr>
              <w:spacing w:after="0"/>
              <w:ind w:left="106" w:firstLine="0"/>
              <w:rPr>
                <w:b w:val="0"/>
                <w:sz w:val="24"/>
                <w:szCs w:val="20"/>
                <w:u w:val="none"/>
              </w:rPr>
            </w:pPr>
            <w:r>
              <w:rPr>
                <w:b w:val="0"/>
                <w:sz w:val="24"/>
                <w:szCs w:val="20"/>
                <w:u w:val="none"/>
              </w:rPr>
              <w:lastRenderedPageBreak/>
              <w:t>£8000</w:t>
            </w:r>
          </w:p>
        </w:tc>
      </w:tr>
    </w:tbl>
    <w:bookmarkEnd w:id="0"/>
    <w:p w:rsidR="00952E86" w:rsidRDefault="00825BD3">
      <w:pPr>
        <w:spacing w:after="0"/>
        <w:ind w:left="0" w:firstLine="0"/>
        <w:jc w:val="both"/>
      </w:pPr>
      <w:r>
        <w:rPr>
          <w:b w:val="0"/>
          <w:sz w:val="22"/>
          <w:u w:val="none"/>
        </w:rPr>
        <w:t xml:space="preserve"> </w:t>
      </w:r>
    </w:p>
    <w:sectPr w:rsidR="00952E86" w:rsidSect="002463DC">
      <w:headerReference w:type="default" r:id="rId10"/>
      <w:pgSz w:w="16838" w:h="11906" w:orient="landscape"/>
      <w:pgMar w:top="516" w:right="820" w:bottom="77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73" w:rsidRDefault="001F0973" w:rsidP="002463DC">
      <w:pPr>
        <w:spacing w:after="0" w:line="240" w:lineRule="auto"/>
      </w:pPr>
      <w:r>
        <w:separator/>
      </w:r>
    </w:p>
  </w:endnote>
  <w:endnote w:type="continuationSeparator" w:id="0">
    <w:p w:rsidR="001F0973" w:rsidRDefault="001F0973" w:rsidP="0024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73" w:rsidRDefault="001F0973" w:rsidP="002463DC">
      <w:pPr>
        <w:spacing w:after="0" w:line="240" w:lineRule="auto"/>
      </w:pPr>
      <w:r>
        <w:separator/>
      </w:r>
    </w:p>
  </w:footnote>
  <w:footnote w:type="continuationSeparator" w:id="0">
    <w:p w:rsidR="001F0973" w:rsidRDefault="001F0973" w:rsidP="0024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DC" w:rsidRPr="002463DC" w:rsidRDefault="002463DC" w:rsidP="002463DC">
    <w:pPr>
      <w:pStyle w:val="Header"/>
      <w:ind w:firstLine="1430"/>
      <w:jc w:val="right"/>
      <w:rPr>
        <w:b w:val="0"/>
        <w:i/>
        <w:sz w:val="36"/>
        <w:u w:val="none"/>
      </w:rPr>
    </w:pPr>
    <w:r w:rsidRPr="002463DC">
      <w:rPr>
        <w:b w:val="0"/>
        <w:i/>
        <w:noProof/>
        <w:sz w:val="36"/>
        <w:u w:val="none"/>
      </w:rPr>
      <w:drawing>
        <wp:anchor distT="0" distB="0" distL="114300" distR="114300" simplePos="0" relativeHeight="251659264" behindDoc="0" locked="0" layoutInCell="1" allowOverlap="1" wp14:anchorId="5CE84345" wp14:editId="556988A7">
          <wp:simplePos x="0" y="0"/>
          <wp:positionH relativeFrom="column">
            <wp:posOffset>0</wp:posOffset>
          </wp:positionH>
          <wp:positionV relativeFrom="paragraph">
            <wp:posOffset>-358140</wp:posOffset>
          </wp:positionV>
          <wp:extent cx="586740" cy="586740"/>
          <wp:effectExtent l="0" t="0" r="3810" b="3810"/>
          <wp:wrapNone/>
          <wp:docPr id="27" name="Picture 27" descr="\\SVR_VM_DC\STAFF_USERS$\SLT\sbrunt\Desktop\st-aug-badge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_VM_DC\STAFF_USERS$\SLT\sbrunt\Desktop\st-aug-badge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63DC">
      <w:rPr>
        <w:b w:val="0"/>
        <w:i/>
        <w:noProof/>
        <w:sz w:val="36"/>
        <w:u w:val="none"/>
      </w:rPr>
      <w:t>Catch-Up Funding Action Plan</w:t>
    </w:r>
    <w:r w:rsidRPr="002463DC">
      <w:rPr>
        <w:b w:val="0"/>
        <w:i/>
        <w:sz w:val="36"/>
        <w:u w:val="none"/>
      </w:rPr>
      <w:t xml:space="preserve">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20AF"/>
    <w:multiLevelType w:val="hybridMultilevel"/>
    <w:tmpl w:val="24821CA8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566F1F28"/>
    <w:multiLevelType w:val="multilevel"/>
    <w:tmpl w:val="0D9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6"/>
    <w:rsid w:val="00057CD1"/>
    <w:rsid w:val="0008369D"/>
    <w:rsid w:val="000D1D62"/>
    <w:rsid w:val="001C6889"/>
    <w:rsid w:val="001F0973"/>
    <w:rsid w:val="002463DC"/>
    <w:rsid w:val="002A1667"/>
    <w:rsid w:val="00317AD4"/>
    <w:rsid w:val="003A64E7"/>
    <w:rsid w:val="00497EB5"/>
    <w:rsid w:val="00523305"/>
    <w:rsid w:val="005858BC"/>
    <w:rsid w:val="00810F93"/>
    <w:rsid w:val="00825BD3"/>
    <w:rsid w:val="008F4BB3"/>
    <w:rsid w:val="00952E86"/>
    <w:rsid w:val="00AB0BDE"/>
    <w:rsid w:val="00B466EF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0BBEC"/>
  <w15:docId w15:val="{F2CED047-EB97-4846-A020-DEF6DDB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33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DC"/>
    <w:rPr>
      <w:rFonts w:ascii="Calibri" w:eastAsia="Calibri" w:hAnsi="Calibri" w:cs="Calibri"/>
      <w:b/>
      <w:color w:val="000000"/>
      <w:sz w:val="4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24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DC"/>
    <w:rPr>
      <w:rFonts w:ascii="Calibri" w:eastAsia="Calibri" w:hAnsi="Calibri" w:cs="Calibri"/>
      <w:b/>
      <w:color w:val="000000"/>
      <w:sz w:val="4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media/1428/wise-up-prioritising-wellbeing-in-schoo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evidence-summaries/teaching-learning-toolkit/small-group-tui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vidence-summaries/teaching-learning-toolkit/small-group-tui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Shirley</dc:creator>
  <cp:keywords/>
  <cp:lastModifiedBy>Sam Brunt</cp:lastModifiedBy>
  <cp:revision>10</cp:revision>
  <dcterms:created xsi:type="dcterms:W3CDTF">2021-02-03T10:20:00Z</dcterms:created>
  <dcterms:modified xsi:type="dcterms:W3CDTF">2021-06-08T10:57:00Z</dcterms:modified>
</cp:coreProperties>
</file>