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E69CB7B"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232"/>
        <w:gridCol w:w="3254"/>
      </w:tblGrid>
      <w:tr w:rsidR="00E66558" w14:paraId="2A7D54B7" w14:textId="77777777" w:rsidTr="00D750D6">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D750D6">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B429F0D" w:rsidR="00E66558" w:rsidRDefault="00D750D6">
            <w:pPr>
              <w:pStyle w:val="TableRow"/>
            </w:pPr>
            <w:r>
              <w:t>St Augustine’s CE (VA) Junior School</w:t>
            </w:r>
          </w:p>
        </w:tc>
      </w:tr>
      <w:tr w:rsidR="00E66558" w14:paraId="2A7D54BD" w14:textId="77777777" w:rsidTr="00D750D6">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7A7C706" w:rsidR="00E66558" w:rsidRDefault="00BD2E59">
            <w:pPr>
              <w:pStyle w:val="TableRow"/>
            </w:pPr>
            <w:r>
              <w:t>232</w:t>
            </w:r>
          </w:p>
        </w:tc>
      </w:tr>
      <w:tr w:rsidR="00E66558" w14:paraId="2A7D54C0" w14:textId="77777777" w:rsidTr="00D750D6">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FCE50DF" w:rsidR="00E66558" w:rsidRDefault="00BD2E59">
            <w:pPr>
              <w:pStyle w:val="TableRow"/>
            </w:pPr>
            <w:r>
              <w:t>33</w:t>
            </w:r>
            <w:r w:rsidR="0041751F">
              <w:t>%</w:t>
            </w:r>
          </w:p>
        </w:tc>
      </w:tr>
      <w:tr w:rsidR="00E66558" w14:paraId="2A7D54C3" w14:textId="77777777" w:rsidTr="00D750D6">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E6B0211" w:rsidR="00E66558" w:rsidRDefault="009D71E8" w:rsidP="002C367A">
            <w:pPr>
              <w:pStyle w:val="TableRow"/>
            </w:pPr>
            <w:r>
              <w:rPr>
                <w:szCs w:val="22"/>
              </w:rPr>
              <w:t>Academic year/years that our current pup</w:t>
            </w:r>
            <w:r w:rsidR="002C367A">
              <w:rPr>
                <w:szCs w:val="22"/>
              </w:rPr>
              <w:t>il premium strategy plan covers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262E8C2" w:rsidR="00E66558" w:rsidRDefault="00D750D6">
            <w:pPr>
              <w:pStyle w:val="TableRow"/>
            </w:pPr>
            <w:r>
              <w:t>2021-2022</w:t>
            </w:r>
          </w:p>
        </w:tc>
      </w:tr>
      <w:tr w:rsidR="00E66558" w14:paraId="2A7D54C6" w14:textId="77777777" w:rsidTr="00D750D6">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6CC3E96" w:rsidR="00E66558" w:rsidRDefault="00D750D6">
            <w:pPr>
              <w:pStyle w:val="TableRow"/>
            </w:pPr>
            <w:r>
              <w:t>September 2021</w:t>
            </w:r>
          </w:p>
        </w:tc>
      </w:tr>
      <w:tr w:rsidR="00E66558" w14:paraId="2A7D54C9" w14:textId="77777777" w:rsidTr="00D750D6">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D384327" w:rsidR="00E66558" w:rsidRDefault="00D750D6">
            <w:pPr>
              <w:pStyle w:val="TableRow"/>
            </w:pPr>
            <w:r>
              <w:t>July 2022</w:t>
            </w:r>
          </w:p>
        </w:tc>
      </w:tr>
      <w:tr w:rsidR="00E66558" w14:paraId="2A7D54CC" w14:textId="77777777" w:rsidTr="00D750D6">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F92A2F5" w:rsidR="00E66558" w:rsidRDefault="00D750D6">
            <w:pPr>
              <w:pStyle w:val="TableRow"/>
            </w:pPr>
            <w:r>
              <w:t>Sam Brunt</w:t>
            </w:r>
          </w:p>
        </w:tc>
      </w:tr>
      <w:tr w:rsidR="00E66558" w14:paraId="2A7D54CF" w14:textId="77777777" w:rsidTr="00D750D6">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310BB6D" w:rsidR="00E66558" w:rsidRDefault="00D750D6">
            <w:pPr>
              <w:pStyle w:val="TableRow"/>
            </w:pPr>
            <w:r>
              <w:t>Sam Brunt</w:t>
            </w:r>
          </w:p>
        </w:tc>
      </w:tr>
      <w:tr w:rsidR="00E66558" w14:paraId="2A7D54D2" w14:textId="77777777" w:rsidTr="00D750D6">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0B77538" w:rsidR="00E66558" w:rsidRDefault="0041751F">
            <w:pPr>
              <w:pStyle w:val="TableRow"/>
            </w:pPr>
            <w:r>
              <w:t>Kirsty Davies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01762B2" w:rsidR="00E66558" w:rsidRDefault="009D71E8">
            <w:pPr>
              <w:pStyle w:val="TableRow"/>
            </w:pPr>
            <w:r>
              <w:t>£</w:t>
            </w:r>
            <w:r w:rsidR="0041751F">
              <w:t>95805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CD3BA49" w:rsidR="00E66558" w:rsidRDefault="009D71E8">
            <w:pPr>
              <w:pStyle w:val="TableRow"/>
            </w:pPr>
            <w:r>
              <w:t>£</w:t>
            </w:r>
            <w:r w:rsidR="0041751F">
              <w:t>10295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65B4C12" w:rsidR="00E66558" w:rsidRDefault="009D71E8">
            <w:pPr>
              <w:pStyle w:val="TableRow"/>
            </w:pPr>
            <w:r>
              <w:t>£</w:t>
            </w:r>
            <w:r w:rsidR="0041751F">
              <w:t>1192</w:t>
            </w:r>
          </w:p>
        </w:tc>
      </w:tr>
      <w:tr w:rsidR="00107A18" w14:paraId="0777FFEB"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D6255" w14:textId="66D9B1AF" w:rsidR="00107A18" w:rsidRDefault="00107A18">
            <w:pPr>
              <w:pStyle w:val="TableRow"/>
            </w:pPr>
            <w:r>
              <w:t>Total</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0509" w14:textId="4AEA168B" w:rsidR="00107A18" w:rsidRPr="00107A18" w:rsidRDefault="00107A18">
            <w:pPr>
              <w:pStyle w:val="TableRow"/>
              <w:rPr>
                <w:b/>
              </w:rPr>
            </w:pPr>
            <w:r w:rsidRPr="00107A18">
              <w:rPr>
                <w:b/>
              </w:rPr>
              <w:t>£107292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62E6A4E5" w:rsidR="00E66558" w:rsidRPr="00BD2E59" w:rsidRDefault="00FE4DE7" w:rsidP="00BD2E59">
            <w:pPr>
              <w:spacing w:before="120"/>
              <w:jc w:val="both"/>
              <w:rPr>
                <w:iCs/>
              </w:rPr>
            </w:pPr>
            <w:r w:rsidRPr="00BD2E59">
              <w:rPr>
                <w:iCs/>
              </w:rPr>
              <w:t>The staff and governors of St Augustine’s CE (VA) Junior School</w:t>
            </w:r>
            <w:r w:rsidR="00BD2E59" w:rsidRPr="00BD2E59">
              <w:rPr>
                <w:iCs/>
              </w:rPr>
              <w:t xml:space="preserve"> embrace responsibility </w:t>
            </w:r>
            <w:r w:rsidR="00012761" w:rsidRPr="00BD2E59">
              <w:t xml:space="preserve">for ‘socially disadvantaged’ pupils and are committed to meeting </w:t>
            </w:r>
            <w:r w:rsidR="00BD2E59" w:rsidRPr="00BD2E59">
              <w:t>all their needs</w:t>
            </w:r>
            <w:r w:rsidR="00012761" w:rsidRPr="00BD2E59">
              <w:t xml:space="preserve"> within a caring and nurturing environment. We </w:t>
            </w:r>
            <w:r w:rsidR="00BD2E59" w:rsidRPr="00BD2E59">
              <w:t xml:space="preserve">strive to ensure that </w:t>
            </w:r>
            <w:r w:rsidR="00012761" w:rsidRPr="00BD2E59">
              <w:t>each child will develop a love for learning and acquire</w:t>
            </w:r>
            <w:r w:rsidR="00BD2E59" w:rsidRPr="00BD2E59">
              <w:t xml:space="preserve"> skills to enable them to achieve their best during their time at St Augustine’s and beyond as adults who contribute fully to the community.</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BD2E59"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BD2E59" w:rsidRDefault="00BD2E59" w:rsidP="00BD2E59">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757A37F" w:rsidR="00BD2E59" w:rsidRPr="00BD2E59" w:rsidRDefault="00BD2E59" w:rsidP="00BD2E59">
            <w:pPr>
              <w:pStyle w:val="TableRowCentered"/>
              <w:jc w:val="left"/>
              <w:rPr>
                <w:szCs w:val="24"/>
              </w:rPr>
            </w:pPr>
            <w:r w:rsidRPr="00BD2E59">
              <w:rPr>
                <w:szCs w:val="24"/>
              </w:rPr>
              <w:t>Emotional resilience is much reduced for a small number of disadvantaged pupils, potentially hindering progress and attainment.</w:t>
            </w:r>
          </w:p>
        </w:tc>
      </w:tr>
      <w:tr w:rsidR="00BD2E59"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BD2E59" w:rsidRDefault="00BD2E59" w:rsidP="00BD2E59">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EEB07E2" w:rsidR="00BD2E59" w:rsidRPr="00BD2E59" w:rsidRDefault="00BD2E59" w:rsidP="00134D32">
            <w:pPr>
              <w:pStyle w:val="TableRowCentered"/>
              <w:jc w:val="left"/>
              <w:rPr>
                <w:szCs w:val="24"/>
              </w:rPr>
            </w:pPr>
            <w:r w:rsidRPr="00134D32">
              <w:rPr>
                <w:szCs w:val="24"/>
              </w:rPr>
              <w:t>25 children in receipt of PP funding, also have additional needs and are on the school SEND register.15 have English</w:t>
            </w:r>
            <w:r w:rsidRPr="00BD2E59">
              <w:rPr>
                <w:szCs w:val="24"/>
              </w:rPr>
              <w:t xml:space="preserve"> as an additional language</w:t>
            </w:r>
            <w:r w:rsidR="00134D32">
              <w:rPr>
                <w:szCs w:val="24"/>
              </w:rPr>
              <w:t>.</w:t>
            </w:r>
          </w:p>
        </w:tc>
      </w:tr>
      <w:tr w:rsidR="00BD2E59"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BD2E59" w:rsidRDefault="00BD2E59" w:rsidP="00BD2E59">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F37B838" w:rsidR="00BD2E59" w:rsidRPr="00BD2E59" w:rsidRDefault="00BD2E59" w:rsidP="00BD2E59">
            <w:pPr>
              <w:pStyle w:val="TableRowCentered"/>
              <w:jc w:val="left"/>
              <w:rPr>
                <w:szCs w:val="24"/>
              </w:rPr>
            </w:pPr>
            <w:r w:rsidRPr="00BD2E59">
              <w:rPr>
                <w:szCs w:val="24"/>
              </w:rPr>
              <w:t>A small number of parents of disadvantaged pupils are “hard to reach” and their lack of engagement potentially hinders progress and attainment.</w:t>
            </w:r>
          </w:p>
        </w:tc>
      </w:tr>
      <w:tr w:rsidR="00ED375D"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D375D" w:rsidRDefault="00ED375D" w:rsidP="00ED375D">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E24E139" w:rsidR="00ED375D" w:rsidRPr="00BD2E59" w:rsidRDefault="00ED375D" w:rsidP="00ED375D">
            <w:pPr>
              <w:pStyle w:val="TableRowCentered"/>
              <w:jc w:val="left"/>
              <w:rPr>
                <w:iCs/>
                <w:szCs w:val="24"/>
              </w:rPr>
            </w:pPr>
            <w:r>
              <w:rPr>
                <w:iCs/>
                <w:szCs w:val="24"/>
              </w:rPr>
              <w:t xml:space="preserve">49 </w:t>
            </w:r>
            <w:r w:rsidRPr="00BD2E59">
              <w:rPr>
                <w:iCs/>
                <w:szCs w:val="24"/>
              </w:rPr>
              <w:t>pupils</w:t>
            </w:r>
            <w:r>
              <w:rPr>
                <w:iCs/>
                <w:szCs w:val="24"/>
              </w:rPr>
              <w:t xml:space="preserve"> in receipt of PP have current safeguarding </w:t>
            </w:r>
            <w:r w:rsidRPr="00ED375D">
              <w:rPr>
                <w:iCs/>
                <w:szCs w:val="24"/>
              </w:rPr>
              <w:t xml:space="preserve">files, </w:t>
            </w:r>
            <w:r>
              <w:rPr>
                <w:iCs/>
                <w:szCs w:val="24"/>
              </w:rPr>
              <w:t>12</w:t>
            </w:r>
            <w:r w:rsidRPr="00ED375D">
              <w:rPr>
                <w:iCs/>
                <w:szCs w:val="24"/>
              </w:rPr>
              <w:t xml:space="preserve"> have</w:t>
            </w:r>
            <w:r w:rsidRPr="00BD2E59">
              <w:rPr>
                <w:iCs/>
                <w:szCs w:val="24"/>
              </w:rPr>
              <w:t xml:space="preserve"> Early Help Assessments in place. These external issues impact on </w:t>
            </w:r>
            <w:r>
              <w:rPr>
                <w:iCs/>
                <w:szCs w:val="24"/>
              </w:rPr>
              <w:t>children’s</w:t>
            </w:r>
            <w:r w:rsidRPr="00BD2E59">
              <w:rPr>
                <w:iCs/>
                <w:szCs w:val="24"/>
              </w:rPr>
              <w:t xml:space="preserve"> readiness to learn.</w:t>
            </w:r>
          </w:p>
        </w:tc>
      </w:tr>
      <w:tr w:rsidR="00ED375D"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D375D" w:rsidRDefault="00ED375D" w:rsidP="00ED375D">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B0D7BD4" w:rsidR="00ED375D" w:rsidRPr="00446E6D" w:rsidRDefault="00ED375D" w:rsidP="00ED375D">
            <w:pPr>
              <w:pStyle w:val="TableRowCentered"/>
              <w:jc w:val="left"/>
              <w:rPr>
                <w:iCs/>
              </w:rPr>
            </w:pPr>
            <w:r w:rsidRPr="00446E6D">
              <w:rPr>
                <w:iCs/>
              </w:rPr>
              <w:t>PP children nationally have been adversely affected by the COVID pandemic an</w:t>
            </w:r>
            <w:r>
              <w:rPr>
                <w:iCs/>
              </w:rPr>
              <w:t>d subsequent national lockdowns – lack of experiences particularly apparent as well as lack of lower attainment compared to non-PP</w:t>
            </w:r>
          </w:p>
        </w:tc>
      </w:tr>
    </w:tbl>
    <w:p w14:paraId="4EC98151" w14:textId="7B2ED50D" w:rsidR="00446E6D" w:rsidRDefault="00446E6D" w:rsidP="00446E6D">
      <w:pPr>
        <w:pStyle w:val="Heading2"/>
        <w:spacing w:before="600"/>
      </w:pPr>
      <w:bookmarkStart w:id="16" w:name="_Toc443397160"/>
    </w:p>
    <w:p w14:paraId="4EB05AE5" w14:textId="056D3655" w:rsidR="00446E6D" w:rsidRDefault="00446E6D" w:rsidP="00446E6D"/>
    <w:p w14:paraId="2D120341" w14:textId="2150CABA" w:rsidR="00446E6D" w:rsidRDefault="00446E6D" w:rsidP="00446E6D">
      <w:pPr>
        <w:pStyle w:val="Heading2"/>
        <w:spacing w:before="600"/>
        <w:rPr>
          <w:b w:val="0"/>
          <w:color w:val="0D0D0D"/>
          <w:sz w:val="24"/>
          <w:szCs w:val="24"/>
        </w:rPr>
      </w:pPr>
    </w:p>
    <w:p w14:paraId="337DF306" w14:textId="77777777" w:rsidR="00446E6D" w:rsidRPr="00446E6D" w:rsidRDefault="00446E6D" w:rsidP="00446E6D"/>
    <w:p w14:paraId="6A14A2B2" w14:textId="722914DB" w:rsidR="00446E6D" w:rsidRPr="00446E6D" w:rsidRDefault="009D71E8" w:rsidP="00446E6D">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446E6D"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C3D51B8" w:rsidR="00446E6D" w:rsidRDefault="00446E6D" w:rsidP="00446E6D">
            <w:pPr>
              <w:pStyle w:val="TableRow"/>
            </w:pPr>
            <w:r w:rsidRPr="009215B5">
              <w:t>To increase confidence and well-being of those children struggling with emotional regulation and social relationships to improve readiness for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6C60B87" w:rsidR="00446E6D" w:rsidRDefault="00446E6D" w:rsidP="00446E6D">
            <w:pPr>
              <w:pStyle w:val="TableRowCentered"/>
              <w:jc w:val="left"/>
              <w:rPr>
                <w:sz w:val="22"/>
                <w:szCs w:val="22"/>
              </w:rPr>
            </w:pPr>
            <w:r w:rsidRPr="006C521F">
              <w:t>Teachers and support staff will report an improvement in readiness to learn.</w:t>
            </w:r>
          </w:p>
        </w:tc>
      </w:tr>
      <w:tr w:rsidR="00446E6D"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774F94E" w:rsidR="00446E6D" w:rsidRDefault="00446E6D" w:rsidP="00446E6D">
            <w:pPr>
              <w:pStyle w:val="TableRow"/>
              <w:rPr>
                <w:sz w:val="22"/>
                <w:szCs w:val="22"/>
              </w:rPr>
            </w:pPr>
            <w:r w:rsidRPr="009215B5">
              <w:t>To better engage the parents/family members of disadvantaged pupils in their children’s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6B4FBD5" w:rsidR="00446E6D" w:rsidRDefault="00446E6D" w:rsidP="00446E6D">
            <w:pPr>
              <w:pStyle w:val="TableRowCentered"/>
              <w:jc w:val="left"/>
              <w:rPr>
                <w:sz w:val="22"/>
                <w:szCs w:val="22"/>
              </w:rPr>
            </w:pPr>
            <w:r w:rsidRPr="006C521F">
              <w:t>Disadvantaged children will make rapid progress in reading, writing and maths.</w:t>
            </w:r>
          </w:p>
        </w:tc>
      </w:tr>
      <w:tr w:rsidR="00446E6D"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D8CE9BF" w:rsidR="00446E6D" w:rsidRDefault="00446E6D" w:rsidP="00446E6D">
            <w:pPr>
              <w:pStyle w:val="TableRow"/>
              <w:rPr>
                <w:sz w:val="22"/>
                <w:szCs w:val="22"/>
              </w:rPr>
            </w:pPr>
            <w:r w:rsidRPr="009215B5">
              <w:t>To ensure continued improvement in attendance so that attendance rates for PP children remain comparable with those for non 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DAA6198" w:rsidR="00446E6D" w:rsidRDefault="00446E6D" w:rsidP="00446E6D">
            <w:pPr>
              <w:pStyle w:val="TableRowCentered"/>
              <w:jc w:val="left"/>
              <w:rPr>
                <w:sz w:val="22"/>
                <w:szCs w:val="22"/>
              </w:rPr>
            </w:pPr>
            <w:r w:rsidRPr="006C521F">
              <w:t>Gap in attendance figures will close. No disadvantaged child will be a persistent absentee.</w:t>
            </w:r>
          </w:p>
        </w:tc>
      </w:tr>
      <w:tr w:rsidR="00446E6D" w14:paraId="6016511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A195F" w14:textId="42D5D37A" w:rsidR="00446E6D" w:rsidRDefault="00446E6D" w:rsidP="00446E6D">
            <w:pPr>
              <w:pStyle w:val="TableRow"/>
              <w:rPr>
                <w:sz w:val="22"/>
                <w:szCs w:val="22"/>
              </w:rPr>
            </w:pPr>
            <w:r w:rsidRPr="009215B5">
              <w:t>To ensure that more able disadvantaged pupils make good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C4E57" w14:textId="17D49DEE" w:rsidR="00446E6D" w:rsidRDefault="00446E6D" w:rsidP="00446E6D">
            <w:pPr>
              <w:pStyle w:val="TableRowCentered"/>
              <w:jc w:val="left"/>
              <w:rPr>
                <w:sz w:val="22"/>
                <w:szCs w:val="22"/>
              </w:rPr>
            </w:pPr>
            <w:r w:rsidRPr="006C521F">
              <w:t xml:space="preserve">All disadvantaged pupils will make good progress. Gaps in learning will be swiftly addressed through targeted support. </w:t>
            </w:r>
            <w:proofErr w:type="spellStart"/>
            <w:r w:rsidRPr="006C521F">
              <w:t>PiXL</w:t>
            </w:r>
            <w:proofErr w:type="spellEnd"/>
            <w:r w:rsidRPr="006C521F">
              <w:t xml:space="preserve"> data will evidence impact of intervention.</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DF99A7C" w:rsidR="00E66558" w:rsidRDefault="009D71E8">
      <w:r>
        <w:t xml:space="preserve">Budgeted cost: £ </w:t>
      </w:r>
      <w:r w:rsidR="00107A18">
        <w:t>42585</w:t>
      </w:r>
    </w:p>
    <w:tbl>
      <w:tblPr>
        <w:tblW w:w="5000" w:type="pct"/>
        <w:tblLayout w:type="fixed"/>
        <w:tblCellMar>
          <w:left w:w="10" w:type="dxa"/>
          <w:right w:w="10" w:type="dxa"/>
        </w:tblCellMar>
        <w:tblLook w:val="04A0" w:firstRow="1" w:lastRow="0" w:firstColumn="1" w:lastColumn="0" w:noHBand="0" w:noVBand="1"/>
      </w:tblPr>
      <w:tblGrid>
        <w:gridCol w:w="3539"/>
        <w:gridCol w:w="4253"/>
        <w:gridCol w:w="1694"/>
      </w:tblGrid>
      <w:tr w:rsidR="00E66558" w:rsidRPr="00EE69C2" w14:paraId="2A7D5519" w14:textId="77777777" w:rsidTr="00CA7CB4">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EE69C2" w:rsidRDefault="009D71E8">
            <w:pPr>
              <w:pStyle w:val="TableHeader"/>
              <w:jc w:val="left"/>
              <w:rPr>
                <w:sz w:val="20"/>
              </w:rPr>
            </w:pPr>
            <w:r w:rsidRPr="00EE69C2">
              <w:rPr>
                <w:sz w:val="20"/>
              </w:rP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EE69C2" w:rsidRDefault="009D71E8">
            <w:pPr>
              <w:pStyle w:val="TableHeader"/>
              <w:jc w:val="left"/>
              <w:rPr>
                <w:sz w:val="20"/>
              </w:rPr>
            </w:pPr>
            <w:r w:rsidRPr="00EE69C2">
              <w:rPr>
                <w:sz w:val="20"/>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EE69C2" w:rsidRDefault="009D71E8">
            <w:pPr>
              <w:pStyle w:val="TableHeader"/>
              <w:jc w:val="left"/>
              <w:rPr>
                <w:sz w:val="20"/>
              </w:rPr>
            </w:pPr>
            <w:r w:rsidRPr="00EE69C2">
              <w:rPr>
                <w:sz w:val="20"/>
              </w:rPr>
              <w:t>Challenge number(s) addressed</w:t>
            </w:r>
          </w:p>
        </w:tc>
      </w:tr>
      <w:tr w:rsidR="00E66558" w:rsidRPr="00EE69C2" w14:paraId="2A7D551D" w14:textId="77777777" w:rsidTr="00CA7CB4">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95B08" w14:textId="77777777" w:rsidR="00E66558" w:rsidRDefault="00DE26BE" w:rsidP="00EE69C2">
            <w:pPr>
              <w:pStyle w:val="TableRow"/>
              <w:rPr>
                <w:sz w:val="20"/>
              </w:rPr>
            </w:pPr>
            <w:r w:rsidRPr="00EE69C2">
              <w:rPr>
                <w:sz w:val="20"/>
              </w:rPr>
              <w:t>Provide weekly  “Forest Sc</w:t>
            </w:r>
            <w:r w:rsidR="00EE69C2" w:rsidRPr="00EE69C2">
              <w:rPr>
                <w:sz w:val="20"/>
              </w:rPr>
              <w:t>hools” sessions led by Eco lead</w:t>
            </w:r>
            <w:r w:rsidR="00ED375D">
              <w:rPr>
                <w:sz w:val="20"/>
              </w:rPr>
              <w:t xml:space="preserve"> – help to build resilience</w:t>
            </w:r>
          </w:p>
          <w:p w14:paraId="2A7D551A" w14:textId="2FFC07FD" w:rsidR="00ED375D" w:rsidRPr="00EE69C2" w:rsidRDefault="00ED375D" w:rsidP="00EE69C2">
            <w:pPr>
              <w:pStyle w:val="TableRow"/>
              <w:rPr>
                <w:sz w:val="20"/>
              </w:rPr>
            </w:pPr>
            <w:r>
              <w:rPr>
                <w:sz w:val="20"/>
              </w:rPr>
              <w:t>(£23500)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FB007" w14:textId="627379FC" w:rsidR="00E66558" w:rsidRDefault="00D86B46">
            <w:pPr>
              <w:pStyle w:val="TableRowCentered"/>
              <w:jc w:val="left"/>
              <w:rPr>
                <w:sz w:val="20"/>
              </w:rPr>
            </w:pPr>
            <w:hyperlink r:id="rId7" w:history="1">
              <w:r w:rsidR="00EE69C2" w:rsidRPr="00EE69C2">
                <w:rPr>
                  <w:rStyle w:val="Hyperlink"/>
                  <w:sz w:val="20"/>
                </w:rPr>
                <w:t>https://www.forestresearch.gov.uk/documents/805/fr0112forestschoolsr</w:t>
              </w:r>
              <w:r w:rsidR="00EE69C2" w:rsidRPr="00EE69C2">
                <w:rPr>
                  <w:rStyle w:val="Hyperlink"/>
                  <w:sz w:val="20"/>
                </w:rPr>
                <w:t>e</w:t>
              </w:r>
              <w:r w:rsidR="00EE69C2" w:rsidRPr="00EE69C2">
                <w:rPr>
                  <w:rStyle w:val="Hyperlink"/>
                  <w:sz w:val="20"/>
                </w:rPr>
                <w:t>port.pdf</w:t>
              </w:r>
            </w:hyperlink>
          </w:p>
          <w:p w14:paraId="031BAF9D" w14:textId="77777777" w:rsidR="00EE69C2" w:rsidRPr="00EE69C2" w:rsidRDefault="00EE69C2">
            <w:pPr>
              <w:pStyle w:val="TableRowCentered"/>
              <w:jc w:val="left"/>
              <w:rPr>
                <w:sz w:val="20"/>
              </w:rPr>
            </w:pPr>
          </w:p>
          <w:p w14:paraId="2A7D551B" w14:textId="06D2D41A" w:rsidR="00EE69C2" w:rsidRPr="00EE69C2" w:rsidRDefault="00EE69C2">
            <w:pPr>
              <w:pStyle w:val="TableRowCentered"/>
              <w:jc w:val="left"/>
              <w:rPr>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2C2CDB6" w:rsidR="00E66558" w:rsidRPr="00EE69C2" w:rsidRDefault="00ED387A">
            <w:pPr>
              <w:pStyle w:val="TableRowCentered"/>
              <w:jc w:val="left"/>
              <w:rPr>
                <w:sz w:val="20"/>
              </w:rPr>
            </w:pPr>
            <w:r>
              <w:rPr>
                <w:sz w:val="20"/>
              </w:rPr>
              <w:t>1</w:t>
            </w:r>
            <w:r w:rsidR="00ED375D">
              <w:rPr>
                <w:sz w:val="20"/>
              </w:rPr>
              <w:t>, 5</w:t>
            </w:r>
          </w:p>
        </w:tc>
      </w:tr>
      <w:tr w:rsidR="00EE69C2" w:rsidRPr="00EE69C2" w14:paraId="4B237993" w14:textId="77777777" w:rsidTr="00CA7CB4">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8A47F" w14:textId="77777777" w:rsidR="00EE69C2" w:rsidRDefault="00EE69C2" w:rsidP="00EE69C2">
            <w:pPr>
              <w:pStyle w:val="TableRow"/>
              <w:rPr>
                <w:i/>
                <w:sz w:val="20"/>
              </w:rPr>
            </w:pPr>
            <w:r w:rsidRPr="00EE69C2">
              <w:rPr>
                <w:i/>
                <w:sz w:val="20"/>
              </w:rPr>
              <w:t xml:space="preserve">Provide in-house and external CPD for all teaching and support staff on: vocabulary development, active questioning, </w:t>
            </w:r>
            <w:proofErr w:type="spellStart"/>
            <w:r w:rsidRPr="00EE69C2">
              <w:rPr>
                <w:i/>
                <w:sz w:val="20"/>
              </w:rPr>
              <w:t>AfL</w:t>
            </w:r>
            <w:proofErr w:type="spellEnd"/>
            <w:r w:rsidRPr="00EE69C2">
              <w:rPr>
                <w:i/>
                <w:sz w:val="20"/>
              </w:rPr>
              <w:t>, challenge and mastery</w:t>
            </w:r>
          </w:p>
          <w:p w14:paraId="605966DD" w14:textId="39EF1572" w:rsidR="00ED375D" w:rsidRPr="00EE69C2" w:rsidRDefault="00ED375D" w:rsidP="00EE69C2">
            <w:pPr>
              <w:pStyle w:val="TableRow"/>
              <w:rPr>
                <w:i/>
                <w:sz w:val="20"/>
              </w:rPr>
            </w:pPr>
            <w:r>
              <w:rPr>
                <w:i/>
                <w:sz w:val="20"/>
              </w:rPr>
              <w:t>(£</w:t>
            </w:r>
            <w:r w:rsidR="00107A18">
              <w:rPr>
                <w:i/>
                <w:sz w:val="20"/>
              </w:rPr>
              <w:t>1</w:t>
            </w:r>
            <w:r>
              <w:rPr>
                <w:i/>
                <w:sz w:val="20"/>
              </w:rPr>
              <w:t>285)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B380E" w14:textId="0808463A" w:rsidR="00EE69C2" w:rsidRDefault="00D86B46" w:rsidP="00DE26BE">
            <w:pPr>
              <w:pStyle w:val="TableRowCentered"/>
              <w:jc w:val="left"/>
              <w:rPr>
                <w:sz w:val="20"/>
              </w:rPr>
            </w:pPr>
            <w:hyperlink r:id="rId8" w:history="1">
              <w:r w:rsidR="00EE69C2" w:rsidRPr="00EB70FC">
                <w:rPr>
                  <w:rStyle w:val="Hyperlink"/>
                  <w:sz w:val="20"/>
                </w:rPr>
                <w:t>https://sandbox.educationendowmentfoundation.org.uk/education-evidence/teaching-learning-toolkit/feedback</w:t>
              </w:r>
            </w:hyperlink>
          </w:p>
          <w:p w14:paraId="407AE235" w14:textId="4CBD6835" w:rsidR="00EE69C2" w:rsidRDefault="00D86B46" w:rsidP="00DE26BE">
            <w:pPr>
              <w:pStyle w:val="TableRowCentered"/>
              <w:jc w:val="left"/>
              <w:rPr>
                <w:sz w:val="20"/>
              </w:rPr>
            </w:pPr>
            <w:hyperlink r:id="rId9" w:history="1">
              <w:r w:rsidR="00EE69C2" w:rsidRPr="00EB70FC">
                <w:rPr>
                  <w:rStyle w:val="Hyperlink"/>
                  <w:sz w:val="20"/>
                </w:rPr>
                <w:t>https://educationendowmentfoundation.org.uk/education-evidence/teaching-learning-toolkit/mastery-learning</w:t>
              </w:r>
            </w:hyperlink>
          </w:p>
          <w:p w14:paraId="655F8857" w14:textId="77777777" w:rsidR="00EE69C2" w:rsidRDefault="00EE69C2" w:rsidP="00DE26BE">
            <w:pPr>
              <w:pStyle w:val="TableRowCentered"/>
              <w:jc w:val="left"/>
              <w:rPr>
                <w:sz w:val="20"/>
              </w:rPr>
            </w:pPr>
          </w:p>
          <w:p w14:paraId="60CC2332" w14:textId="70B8B1D5" w:rsidR="00EE69C2" w:rsidRPr="00EE69C2" w:rsidRDefault="00EE69C2" w:rsidP="00DE26BE">
            <w:pPr>
              <w:pStyle w:val="TableRowCentered"/>
              <w:jc w:val="left"/>
              <w:rPr>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F191F" w14:textId="717A296B" w:rsidR="00EE69C2" w:rsidRPr="00EE69C2" w:rsidRDefault="00ED387A" w:rsidP="00DE26BE">
            <w:pPr>
              <w:pStyle w:val="TableRowCentered"/>
              <w:jc w:val="left"/>
              <w:rPr>
                <w:sz w:val="20"/>
              </w:rPr>
            </w:pPr>
            <w:r>
              <w:rPr>
                <w:sz w:val="20"/>
              </w:rPr>
              <w:t>2</w:t>
            </w:r>
          </w:p>
        </w:tc>
      </w:tr>
      <w:tr w:rsidR="00EE69C2" w:rsidRPr="00EE69C2" w14:paraId="1D06D277" w14:textId="77777777" w:rsidTr="00CA7CB4">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B7443" w14:textId="77777777" w:rsidR="00EE69C2" w:rsidRDefault="00EE69C2" w:rsidP="00EE69C2">
            <w:pPr>
              <w:pStyle w:val="TableRow"/>
              <w:rPr>
                <w:i/>
                <w:sz w:val="20"/>
              </w:rPr>
            </w:pPr>
            <w:r w:rsidRPr="00EE69C2">
              <w:rPr>
                <w:i/>
                <w:sz w:val="20"/>
              </w:rPr>
              <w:t>Release subject leads and SLT to provide half-termly TA training. Release “Pupil Premium Champion” 1 afternoon per half term to monitor and track progress of disadvantaged groups and their participation in extra-curricular</w:t>
            </w:r>
            <w:r w:rsidRPr="00EE69C2">
              <w:rPr>
                <w:sz w:val="20"/>
              </w:rPr>
              <w:t xml:space="preserve"> </w:t>
            </w:r>
            <w:r w:rsidRPr="00EE69C2">
              <w:rPr>
                <w:i/>
                <w:sz w:val="20"/>
              </w:rPr>
              <w:t>activities with “Pupil Premium HLTA”</w:t>
            </w:r>
          </w:p>
          <w:p w14:paraId="31499174" w14:textId="01E5F82B" w:rsidR="00ED375D" w:rsidRPr="00EE69C2" w:rsidRDefault="00ED375D" w:rsidP="00EE69C2">
            <w:pPr>
              <w:pStyle w:val="TableRow"/>
              <w:rPr>
                <w:i/>
                <w:sz w:val="20"/>
              </w:rPr>
            </w:pPr>
            <w:r>
              <w:rPr>
                <w:i/>
                <w:sz w:val="20"/>
              </w:rPr>
              <w:t>(£1000)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D1614" w14:textId="0ADC8EB6" w:rsidR="00EE69C2" w:rsidRDefault="00D86B46" w:rsidP="00DE26BE">
            <w:pPr>
              <w:pStyle w:val="TableRowCentered"/>
              <w:jc w:val="left"/>
              <w:rPr>
                <w:sz w:val="20"/>
              </w:rPr>
            </w:pPr>
            <w:hyperlink r:id="rId10" w:history="1">
              <w:r w:rsidR="00EE69C2" w:rsidRPr="00EB70FC">
                <w:rPr>
                  <w:rStyle w:val="Hyperlink"/>
                  <w:sz w:val="20"/>
                </w:rPr>
                <w:t>https://educationendowmentfoundation.org.uk/education-evidence/teaching-learning-toolkit/teaching-assistant-interventions</w:t>
              </w:r>
            </w:hyperlink>
          </w:p>
          <w:p w14:paraId="6E5DD798" w14:textId="0DD407D4" w:rsidR="00EE69C2" w:rsidRPr="00EE69C2" w:rsidRDefault="00EE69C2" w:rsidP="00DE26BE">
            <w:pPr>
              <w:pStyle w:val="TableRowCentered"/>
              <w:jc w:val="left"/>
              <w:rPr>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4D4DC" w14:textId="55DC584D" w:rsidR="00EE69C2" w:rsidRPr="00EE69C2" w:rsidRDefault="00ED375D" w:rsidP="00DE26BE">
            <w:pPr>
              <w:pStyle w:val="TableRowCentered"/>
              <w:jc w:val="left"/>
              <w:rPr>
                <w:sz w:val="20"/>
              </w:rPr>
            </w:pPr>
            <w:r>
              <w:rPr>
                <w:sz w:val="20"/>
              </w:rPr>
              <w:t>2</w:t>
            </w:r>
            <w:bookmarkStart w:id="17" w:name="_GoBack"/>
            <w:bookmarkEnd w:id="17"/>
          </w:p>
        </w:tc>
      </w:tr>
      <w:tr w:rsidR="00EE69C2" w:rsidRPr="00EE69C2" w14:paraId="0672281D" w14:textId="77777777" w:rsidTr="00CA7CB4">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EB042" w14:textId="77777777" w:rsidR="00EE69C2" w:rsidRDefault="00EE69C2" w:rsidP="00EE69C2">
            <w:pPr>
              <w:pStyle w:val="TableRow"/>
              <w:rPr>
                <w:i/>
                <w:sz w:val="20"/>
              </w:rPr>
            </w:pPr>
            <w:r w:rsidRPr="00EE69C2">
              <w:rPr>
                <w:i/>
                <w:sz w:val="20"/>
              </w:rPr>
              <w:t>Provide clear line of communication with parents/carers of PP children by allocating 1.5 days a week for Assistant Head to oversee SMSC needs of PP children and meet with parents/professionals, as well as keeping up to date with latest practice.</w:t>
            </w:r>
          </w:p>
          <w:p w14:paraId="24DBB169" w14:textId="42447679" w:rsidR="00ED375D" w:rsidRPr="00EE69C2" w:rsidRDefault="00ED375D" w:rsidP="00EE69C2">
            <w:pPr>
              <w:pStyle w:val="TableRow"/>
              <w:rPr>
                <w:i/>
                <w:sz w:val="20"/>
              </w:rPr>
            </w:pPr>
            <w:r>
              <w:rPr>
                <w:i/>
                <w:sz w:val="20"/>
              </w:rPr>
              <w:t>(£16800)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828A2" w14:textId="325FDAFA" w:rsidR="00EE69C2" w:rsidRDefault="00D86B46" w:rsidP="00EE69C2">
            <w:pPr>
              <w:pStyle w:val="TableRowCentered"/>
              <w:jc w:val="left"/>
              <w:rPr>
                <w:sz w:val="20"/>
              </w:rPr>
            </w:pPr>
            <w:hyperlink r:id="rId11" w:history="1">
              <w:r w:rsidR="00EE69C2" w:rsidRPr="00EB70FC">
                <w:rPr>
                  <w:rStyle w:val="Hyperlink"/>
                  <w:sz w:val="20"/>
                </w:rPr>
                <w:t>https://educationendowmentfoundation.org.uk/education-evidence/teaching-learning-toolkit/parental-engagement</w:t>
              </w:r>
            </w:hyperlink>
          </w:p>
          <w:p w14:paraId="1B31C3E4" w14:textId="5E21005F" w:rsidR="00EE69C2" w:rsidRPr="00EE69C2" w:rsidRDefault="00EE69C2" w:rsidP="00EE69C2">
            <w:pPr>
              <w:pStyle w:val="TableRowCentered"/>
              <w:jc w:val="left"/>
              <w:rPr>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C4E3" w14:textId="6C74B96B" w:rsidR="00EE69C2" w:rsidRPr="00EE69C2" w:rsidRDefault="00ED375D" w:rsidP="00DE26BE">
            <w:pPr>
              <w:pStyle w:val="TableRowCentered"/>
              <w:jc w:val="left"/>
              <w:rPr>
                <w:sz w:val="20"/>
              </w:rPr>
            </w:pPr>
            <w:r>
              <w:rPr>
                <w:sz w:val="20"/>
              </w:rPr>
              <w:t>3, 1, 2, 4</w:t>
            </w:r>
          </w:p>
        </w:tc>
      </w:tr>
    </w:tbl>
    <w:p w14:paraId="2A7D5522" w14:textId="0A7BADBD" w:rsidR="00E66558" w:rsidRDefault="00E66558">
      <w:pPr>
        <w:keepNext/>
        <w:spacing w:after="60"/>
        <w:outlineLvl w:val="1"/>
      </w:pPr>
    </w:p>
    <w:p w14:paraId="45C4EFFF" w14:textId="73FF8EDB" w:rsidR="00ED375D" w:rsidRDefault="00ED375D">
      <w:pPr>
        <w:keepNext/>
        <w:spacing w:after="60"/>
        <w:outlineLvl w:val="1"/>
      </w:pPr>
    </w:p>
    <w:p w14:paraId="2E185E9F" w14:textId="5DD9F07C" w:rsidR="00ED375D" w:rsidRDefault="00ED375D">
      <w:pPr>
        <w:keepNext/>
        <w:spacing w:after="60"/>
        <w:outlineLvl w:val="1"/>
      </w:pPr>
    </w:p>
    <w:p w14:paraId="0CEBAE66" w14:textId="2F0745FB" w:rsidR="00ED375D" w:rsidRDefault="00ED375D">
      <w:pPr>
        <w:keepNext/>
        <w:spacing w:after="60"/>
        <w:outlineLvl w:val="1"/>
      </w:pPr>
    </w:p>
    <w:p w14:paraId="45147AFC" w14:textId="29D4D0D7" w:rsidR="00ED375D" w:rsidRDefault="00ED375D">
      <w:pPr>
        <w:keepNext/>
        <w:spacing w:after="60"/>
        <w:outlineLvl w:val="1"/>
      </w:pPr>
    </w:p>
    <w:p w14:paraId="645C95F4" w14:textId="4CDBC138" w:rsidR="00ED375D" w:rsidRDefault="00ED375D">
      <w:pPr>
        <w:keepNext/>
        <w:spacing w:after="60"/>
        <w:outlineLvl w:val="1"/>
      </w:pPr>
    </w:p>
    <w:p w14:paraId="0047618C" w14:textId="77777777" w:rsidR="00ED375D" w:rsidRDefault="00ED375D">
      <w:pPr>
        <w:rPr>
          <w:b/>
          <w:bCs/>
          <w:color w:val="104F75"/>
          <w:sz w:val="28"/>
          <w:szCs w:val="28"/>
        </w:rPr>
      </w:pPr>
    </w:p>
    <w:p w14:paraId="2A7D5523" w14:textId="28A5EB7A" w:rsidR="00E66558" w:rsidRDefault="009D71E8" w:rsidP="00107A18">
      <w:pPr>
        <w:spacing w:after="0"/>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3022403" w:rsidR="00E66558" w:rsidRDefault="009D71E8" w:rsidP="00107A18">
      <w:pPr>
        <w:spacing w:after="0"/>
      </w:pPr>
      <w:r>
        <w:t xml:space="preserve">Budgeted cost: £ </w:t>
      </w:r>
      <w:r w:rsidR="00107A18">
        <w:t>29</w:t>
      </w:r>
      <w:r w:rsidR="00107A18">
        <w:rPr>
          <w:i/>
          <w:iCs/>
        </w:rPr>
        <w:t>099</w:t>
      </w:r>
    </w:p>
    <w:tbl>
      <w:tblPr>
        <w:tblW w:w="5000" w:type="pct"/>
        <w:tblLayout w:type="fixed"/>
        <w:tblCellMar>
          <w:left w:w="10" w:type="dxa"/>
          <w:right w:w="10" w:type="dxa"/>
        </w:tblCellMar>
        <w:tblLook w:val="04A0" w:firstRow="1" w:lastRow="0" w:firstColumn="1" w:lastColumn="0" w:noHBand="0" w:noVBand="1"/>
      </w:tblPr>
      <w:tblGrid>
        <w:gridCol w:w="2830"/>
        <w:gridCol w:w="5284"/>
        <w:gridCol w:w="1372"/>
      </w:tblGrid>
      <w:tr w:rsidR="00E66558" w:rsidRPr="00EE69C2" w14:paraId="2A7D5528" w14:textId="77777777" w:rsidTr="00CA7CB4">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EE69C2" w:rsidRDefault="009D71E8">
            <w:pPr>
              <w:pStyle w:val="TableHeader"/>
              <w:jc w:val="left"/>
              <w:rPr>
                <w:sz w:val="20"/>
              </w:rPr>
            </w:pPr>
            <w:r w:rsidRPr="00EE69C2">
              <w:rPr>
                <w:sz w:val="20"/>
              </w:rPr>
              <w:t>Activity</w:t>
            </w:r>
          </w:p>
        </w:tc>
        <w:tc>
          <w:tcPr>
            <w:tcW w:w="52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EE69C2" w:rsidRDefault="009D71E8">
            <w:pPr>
              <w:pStyle w:val="TableHeader"/>
              <w:jc w:val="left"/>
              <w:rPr>
                <w:sz w:val="20"/>
              </w:rPr>
            </w:pPr>
            <w:r w:rsidRPr="00EE69C2">
              <w:rPr>
                <w:sz w:val="20"/>
              </w:rPr>
              <w:t>Evidence that supports this approach</w:t>
            </w:r>
          </w:p>
        </w:tc>
        <w:tc>
          <w:tcPr>
            <w:tcW w:w="1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EE69C2" w:rsidRDefault="009D71E8">
            <w:pPr>
              <w:pStyle w:val="TableHeader"/>
              <w:jc w:val="left"/>
              <w:rPr>
                <w:sz w:val="20"/>
              </w:rPr>
            </w:pPr>
            <w:r w:rsidRPr="00EE69C2">
              <w:rPr>
                <w:sz w:val="20"/>
              </w:rPr>
              <w:t>Challenge number(s) addressed</w:t>
            </w:r>
          </w:p>
        </w:tc>
      </w:tr>
      <w:tr w:rsidR="00E66558" w:rsidRPr="00EE69C2" w14:paraId="2A7D5530" w14:textId="77777777" w:rsidTr="00CA7CB4">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741AF" w14:textId="77777777" w:rsidR="00E66558" w:rsidRDefault="00EE69C2">
            <w:pPr>
              <w:pStyle w:val="TableRow"/>
              <w:rPr>
                <w:i/>
                <w:sz w:val="20"/>
              </w:rPr>
            </w:pPr>
            <w:r w:rsidRPr="00EE69C2">
              <w:rPr>
                <w:i/>
                <w:sz w:val="20"/>
              </w:rPr>
              <w:t>Provide targeted children with focussed maths intervention</w:t>
            </w:r>
            <w:r>
              <w:rPr>
                <w:i/>
                <w:sz w:val="20"/>
              </w:rPr>
              <w:t xml:space="preserve"> including having a Pupil Premium TA half a day per week to work with SCE/PP children</w:t>
            </w:r>
          </w:p>
          <w:p w14:paraId="2A7D552D" w14:textId="01BEF3D4" w:rsidR="00ED375D" w:rsidRPr="00EE69C2" w:rsidRDefault="00ED375D">
            <w:pPr>
              <w:pStyle w:val="TableRow"/>
              <w:rPr>
                <w:i/>
                <w:sz w:val="20"/>
              </w:rPr>
            </w:pPr>
            <w:r>
              <w:rPr>
                <w:i/>
                <w:sz w:val="20"/>
              </w:rPr>
              <w:t>(£</w:t>
            </w:r>
            <w:r w:rsidR="00107A18">
              <w:rPr>
                <w:i/>
                <w:sz w:val="20"/>
              </w:rPr>
              <w:t>2</w:t>
            </w:r>
            <w:r>
              <w:rPr>
                <w:i/>
                <w:sz w:val="20"/>
              </w:rPr>
              <w:t>705)</w:t>
            </w:r>
          </w:p>
        </w:tc>
        <w:tc>
          <w:tcPr>
            <w:tcW w:w="5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B" w14:textId="20198DA1" w:rsidR="00E66558" w:rsidRDefault="00D86B46">
            <w:pPr>
              <w:pStyle w:val="TableRowCentered"/>
              <w:jc w:val="left"/>
              <w:rPr>
                <w:sz w:val="20"/>
              </w:rPr>
            </w:pPr>
            <w:hyperlink r:id="rId12" w:history="1">
              <w:r w:rsidR="00EE69C2" w:rsidRPr="00EB70FC">
                <w:rPr>
                  <w:rStyle w:val="Hyperlink"/>
                  <w:sz w:val="20"/>
                </w:rPr>
                <w:t>https://educationendowmentfoundation.org.uk/education-evidence/teaching-learning-toolkit/small-group-tuition</w:t>
              </w:r>
            </w:hyperlink>
          </w:p>
          <w:p w14:paraId="2A7D552E" w14:textId="4272D930" w:rsidR="00EE69C2" w:rsidRPr="00EE69C2" w:rsidRDefault="00EE69C2">
            <w:pPr>
              <w:pStyle w:val="TableRowCentered"/>
              <w:jc w:val="left"/>
              <w:rPr>
                <w:sz w:val="20"/>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0496CC5" w:rsidR="00E66558" w:rsidRPr="00EE69C2" w:rsidRDefault="00ED375D">
            <w:pPr>
              <w:pStyle w:val="TableRowCentered"/>
              <w:jc w:val="left"/>
              <w:rPr>
                <w:sz w:val="20"/>
              </w:rPr>
            </w:pPr>
            <w:r>
              <w:rPr>
                <w:sz w:val="20"/>
              </w:rPr>
              <w:t>5</w:t>
            </w:r>
          </w:p>
        </w:tc>
      </w:tr>
      <w:tr w:rsidR="00EE69C2" w:rsidRPr="00EE69C2" w14:paraId="73482775" w14:textId="77777777" w:rsidTr="00CA7CB4">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9F175" w14:textId="77777777" w:rsidR="00EE69C2" w:rsidRDefault="00EE69C2" w:rsidP="00EE69C2">
            <w:pPr>
              <w:pStyle w:val="TableRow"/>
              <w:rPr>
                <w:i/>
                <w:iCs/>
                <w:sz w:val="20"/>
                <w:szCs w:val="22"/>
              </w:rPr>
            </w:pPr>
            <w:r w:rsidRPr="00EE69C2">
              <w:rPr>
                <w:i/>
                <w:iCs/>
                <w:sz w:val="20"/>
                <w:szCs w:val="22"/>
              </w:rPr>
              <w:t>Develop Accelerated Reader across school</w:t>
            </w:r>
          </w:p>
          <w:p w14:paraId="544E05EE" w14:textId="6438BC1F" w:rsidR="00ED375D" w:rsidRPr="00EE69C2" w:rsidRDefault="00ED375D" w:rsidP="00EE69C2">
            <w:pPr>
              <w:pStyle w:val="TableRow"/>
              <w:rPr>
                <w:i/>
                <w:sz w:val="20"/>
              </w:rPr>
            </w:pPr>
            <w:r>
              <w:rPr>
                <w:i/>
                <w:iCs/>
                <w:sz w:val="20"/>
                <w:szCs w:val="22"/>
              </w:rPr>
              <w:t>(£26394)</w:t>
            </w:r>
          </w:p>
        </w:tc>
        <w:tc>
          <w:tcPr>
            <w:tcW w:w="5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6E0F" w14:textId="0EC7C2B4" w:rsidR="00EE69C2" w:rsidRPr="00EE69C2" w:rsidRDefault="00D86B46" w:rsidP="00EE69C2">
            <w:pPr>
              <w:pStyle w:val="TableRowCentered"/>
              <w:jc w:val="left"/>
              <w:rPr>
                <w:sz w:val="20"/>
              </w:rPr>
            </w:pPr>
            <w:hyperlink r:id="rId13" w:history="1">
              <w:r w:rsidR="00EE69C2" w:rsidRPr="00EE69C2">
                <w:rPr>
                  <w:rStyle w:val="Hyperlink"/>
                  <w:sz w:val="20"/>
                </w:rPr>
                <w:t>https://sandbox.educationendowmentfoundation.org.uk/education-evidence/teaching-learning-toolkit/reading-comprehension-strategies</w:t>
              </w:r>
            </w:hyperlink>
          </w:p>
          <w:p w14:paraId="50465AB2" w14:textId="055753C5" w:rsidR="00EE69C2" w:rsidRPr="00EE69C2" w:rsidRDefault="00EE69C2" w:rsidP="00EE69C2">
            <w:pPr>
              <w:pStyle w:val="TableRowCentered"/>
              <w:jc w:val="left"/>
              <w:rPr>
                <w:sz w:val="20"/>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23355" w14:textId="37E0D248" w:rsidR="00EE69C2" w:rsidRPr="00EE69C2" w:rsidRDefault="00ED375D" w:rsidP="00EE69C2">
            <w:pPr>
              <w:pStyle w:val="TableRowCentered"/>
              <w:jc w:val="left"/>
              <w:rPr>
                <w:sz w:val="20"/>
              </w:rPr>
            </w:pPr>
            <w:r>
              <w:rPr>
                <w:sz w:val="20"/>
              </w:rPr>
              <w:t>5</w:t>
            </w:r>
          </w:p>
        </w:tc>
      </w:tr>
    </w:tbl>
    <w:p w14:paraId="303B157D" w14:textId="77777777" w:rsidR="00107A18" w:rsidRDefault="00107A18" w:rsidP="00ED375D">
      <w:pPr>
        <w:spacing w:after="0"/>
        <w:rPr>
          <w:b/>
          <w:color w:val="104F75"/>
          <w:sz w:val="28"/>
          <w:szCs w:val="28"/>
        </w:rPr>
      </w:pPr>
    </w:p>
    <w:p w14:paraId="2A7D5532" w14:textId="43B274E4" w:rsidR="00E66558" w:rsidRDefault="009D71E8" w:rsidP="00ED375D">
      <w:pPr>
        <w:spacing w:after="0"/>
        <w:rPr>
          <w:b/>
          <w:color w:val="104F75"/>
          <w:sz w:val="28"/>
          <w:szCs w:val="28"/>
        </w:rPr>
      </w:pPr>
      <w:r>
        <w:rPr>
          <w:b/>
          <w:color w:val="104F75"/>
          <w:sz w:val="28"/>
          <w:szCs w:val="28"/>
        </w:rPr>
        <w:t>Wider strategies (for example, related to attendance, behaviour, wellbeing)</w:t>
      </w:r>
    </w:p>
    <w:p w14:paraId="2A7D5533" w14:textId="0245D2A0" w:rsidR="00E66558" w:rsidRDefault="009D71E8" w:rsidP="00ED375D">
      <w:pPr>
        <w:spacing w:after="0"/>
      </w:pPr>
      <w:r>
        <w:t xml:space="preserve">Budgeted cost: £ </w:t>
      </w:r>
      <w:r w:rsidR="00107A18">
        <w:t>35410</w:t>
      </w:r>
    </w:p>
    <w:tbl>
      <w:tblPr>
        <w:tblW w:w="5000" w:type="pct"/>
        <w:tblLayout w:type="fixed"/>
        <w:tblCellMar>
          <w:left w:w="10" w:type="dxa"/>
          <w:right w:w="10" w:type="dxa"/>
        </w:tblCellMar>
        <w:tblLook w:val="04A0" w:firstRow="1" w:lastRow="0" w:firstColumn="1" w:lastColumn="0" w:noHBand="0" w:noVBand="1"/>
      </w:tblPr>
      <w:tblGrid>
        <w:gridCol w:w="3964"/>
        <w:gridCol w:w="3991"/>
        <w:gridCol w:w="1531"/>
      </w:tblGrid>
      <w:tr w:rsidR="00E66558" w14:paraId="2A7D5537" w14:textId="77777777" w:rsidTr="00ED375D">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9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0ED375D">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85298" w14:textId="77777777" w:rsidR="00E66558" w:rsidRDefault="00107A18">
            <w:pPr>
              <w:pStyle w:val="TableRow"/>
              <w:rPr>
                <w:i/>
                <w:sz w:val="22"/>
              </w:rPr>
            </w:pPr>
            <w:r>
              <w:rPr>
                <w:i/>
                <w:sz w:val="22"/>
              </w:rPr>
              <w:t>Employ</w:t>
            </w:r>
            <w:r w:rsidR="00DE26BE" w:rsidRPr="00DE26BE">
              <w:rPr>
                <w:i/>
                <w:sz w:val="22"/>
              </w:rPr>
              <w:t xml:space="preserve"> an SEN/ Family Support Worker to work in partnership with and </w:t>
            </w:r>
            <w:r>
              <w:rPr>
                <w:i/>
                <w:sz w:val="22"/>
              </w:rPr>
              <w:t xml:space="preserve">to </w:t>
            </w:r>
            <w:r w:rsidR="00DE26BE" w:rsidRPr="00DE26BE">
              <w:rPr>
                <w:i/>
                <w:sz w:val="22"/>
              </w:rPr>
              <w:t>support vulnerable children/families.</w:t>
            </w:r>
          </w:p>
          <w:p w14:paraId="2A7D553C" w14:textId="27CC0E1F" w:rsidR="00107A18" w:rsidRDefault="00107A18">
            <w:pPr>
              <w:pStyle w:val="TableRow"/>
              <w:rPr>
                <w:i/>
                <w:sz w:val="22"/>
              </w:rPr>
            </w:pPr>
            <w:r>
              <w:rPr>
                <w:i/>
                <w:sz w:val="22"/>
              </w:rPr>
              <w:t>(£20010)</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EF43A" w14:textId="69132B2C" w:rsidR="00E66558" w:rsidRDefault="00D86B46">
            <w:pPr>
              <w:pStyle w:val="TableRowCentered"/>
              <w:jc w:val="left"/>
              <w:rPr>
                <w:sz w:val="22"/>
              </w:rPr>
            </w:pPr>
            <w:hyperlink r:id="rId14" w:history="1">
              <w:r w:rsidR="00EE69C2" w:rsidRPr="00EB70FC">
                <w:rPr>
                  <w:rStyle w:val="Hyperlink"/>
                  <w:sz w:val="22"/>
                </w:rPr>
                <w:t>https://doncasterchildcare.proceduresonline.com/pdfs/parent_fam_support_fw.pdf</w:t>
              </w:r>
            </w:hyperlink>
          </w:p>
          <w:p w14:paraId="2A7D553D" w14:textId="3BF53855" w:rsidR="00EE69C2" w:rsidRDefault="00EE69C2">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F2D8AAE" w:rsidR="00E66558" w:rsidRDefault="00ED375D">
            <w:pPr>
              <w:pStyle w:val="TableRowCentered"/>
              <w:jc w:val="left"/>
              <w:rPr>
                <w:sz w:val="22"/>
              </w:rPr>
            </w:pPr>
            <w:r>
              <w:rPr>
                <w:sz w:val="22"/>
              </w:rPr>
              <w:t>3, 4</w:t>
            </w:r>
          </w:p>
        </w:tc>
      </w:tr>
      <w:tr w:rsidR="00DE26BE" w14:paraId="0690C02D" w14:textId="77777777" w:rsidTr="00ED375D">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49D" w14:textId="77777777" w:rsidR="00DE26BE" w:rsidRDefault="00DE26BE" w:rsidP="00EE69C2">
            <w:pPr>
              <w:pStyle w:val="TableRow"/>
              <w:rPr>
                <w:i/>
                <w:sz w:val="22"/>
              </w:rPr>
            </w:pPr>
            <w:r w:rsidRPr="00DE26BE">
              <w:rPr>
                <w:i/>
                <w:sz w:val="22"/>
              </w:rPr>
              <w:t>Provision of “wellbeing” counsellor one day a week to support children with a range of social and emotional needs.</w:t>
            </w:r>
            <w:r w:rsidR="00EE69C2" w:rsidRPr="00DE26BE">
              <w:rPr>
                <w:i/>
                <w:sz w:val="22"/>
              </w:rPr>
              <w:t xml:space="preserve"> </w:t>
            </w:r>
            <w:r w:rsidR="00EE69C2">
              <w:rPr>
                <w:i/>
                <w:sz w:val="22"/>
              </w:rPr>
              <w:t>Also, e</w:t>
            </w:r>
            <w:r w:rsidR="00EE69C2" w:rsidRPr="00DE26BE">
              <w:rPr>
                <w:i/>
                <w:sz w:val="22"/>
              </w:rPr>
              <w:t>mploy a “Learning Mentor” teaching assistant to work with small groups of vulnerable children on ECO projects.</w:t>
            </w:r>
          </w:p>
          <w:p w14:paraId="4189F367" w14:textId="6B993FC5" w:rsidR="00107A18" w:rsidRPr="00DE26BE" w:rsidRDefault="00107A18" w:rsidP="00107A18">
            <w:pPr>
              <w:pStyle w:val="TableRow"/>
              <w:rPr>
                <w:i/>
                <w:sz w:val="22"/>
              </w:rPr>
            </w:pPr>
            <w:r>
              <w:rPr>
                <w:i/>
                <w:sz w:val="22"/>
              </w:rPr>
              <w:t>(£10400)</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D01B1" w14:textId="53BE02A8" w:rsidR="00DE26BE" w:rsidRDefault="00D86B46">
            <w:pPr>
              <w:pStyle w:val="TableRowCentered"/>
              <w:jc w:val="left"/>
              <w:rPr>
                <w:sz w:val="22"/>
              </w:rPr>
            </w:pPr>
            <w:hyperlink r:id="rId15" w:history="1">
              <w:r w:rsidR="00EE69C2" w:rsidRPr="00EB70FC">
                <w:rPr>
                  <w:rStyle w:val="Hyperlink"/>
                  <w:sz w:val="22"/>
                </w:rPr>
                <w:t>https://educationendowmentfoundation.org.uk/education-evidence/teaching-learning-toolkit/social-and-emotional-learning</w:t>
              </w:r>
            </w:hyperlink>
          </w:p>
          <w:p w14:paraId="644B9FB1" w14:textId="587DADAF" w:rsidR="00EE69C2" w:rsidRDefault="00EE69C2">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A2B02" w14:textId="1F5EA5F7" w:rsidR="00DE26BE" w:rsidRDefault="00ED375D">
            <w:pPr>
              <w:pStyle w:val="TableRowCentered"/>
              <w:jc w:val="left"/>
              <w:rPr>
                <w:sz w:val="22"/>
              </w:rPr>
            </w:pPr>
            <w:r>
              <w:rPr>
                <w:sz w:val="22"/>
              </w:rPr>
              <w:t>1, 4</w:t>
            </w:r>
          </w:p>
        </w:tc>
      </w:tr>
      <w:tr w:rsidR="00EE69C2" w14:paraId="5819CA77" w14:textId="77777777" w:rsidTr="00ED375D">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30977" w14:textId="77777777" w:rsidR="00EE69C2" w:rsidRDefault="00EE69C2">
            <w:pPr>
              <w:pStyle w:val="TableRow"/>
              <w:rPr>
                <w:i/>
                <w:sz w:val="22"/>
              </w:rPr>
            </w:pPr>
            <w:r w:rsidRPr="00EE69C2">
              <w:rPr>
                <w:i/>
                <w:sz w:val="22"/>
              </w:rPr>
              <w:t>Ensure that all disadvantaged pup</w:t>
            </w:r>
            <w:r w:rsidR="00CA7CB4">
              <w:rPr>
                <w:i/>
                <w:sz w:val="22"/>
              </w:rPr>
              <w:t>ils are provided with breakfast</w:t>
            </w:r>
            <w:r w:rsidR="00107A18">
              <w:rPr>
                <w:i/>
                <w:sz w:val="22"/>
              </w:rPr>
              <w:t xml:space="preserve"> including being invited to Breakfast Club</w:t>
            </w:r>
            <w:r w:rsidR="00CA7CB4">
              <w:rPr>
                <w:i/>
                <w:sz w:val="22"/>
              </w:rPr>
              <w:t>/</w:t>
            </w:r>
            <w:r w:rsidR="00CA7CB4" w:rsidRPr="00EE69C2">
              <w:rPr>
                <w:i/>
                <w:sz w:val="22"/>
              </w:rPr>
              <w:t>Provide milk at morning break-time to pupil premium children.</w:t>
            </w:r>
          </w:p>
          <w:p w14:paraId="401A0A14" w14:textId="060CC692" w:rsidR="00107A18" w:rsidRPr="00DE26BE" w:rsidRDefault="00107A18">
            <w:pPr>
              <w:pStyle w:val="TableRow"/>
              <w:rPr>
                <w:i/>
                <w:sz w:val="22"/>
              </w:rPr>
            </w:pPr>
            <w:r>
              <w:rPr>
                <w:i/>
                <w:sz w:val="22"/>
              </w:rPr>
              <w:t>(£2000)</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8A8EF" w14:textId="2A2B38DA" w:rsidR="00EE69C2" w:rsidRDefault="00D86B46">
            <w:pPr>
              <w:pStyle w:val="TableRowCentered"/>
              <w:jc w:val="left"/>
              <w:rPr>
                <w:sz w:val="22"/>
              </w:rPr>
            </w:pPr>
            <w:hyperlink r:id="rId16" w:history="1">
              <w:r w:rsidR="00EE69C2" w:rsidRPr="00EB70FC">
                <w:rPr>
                  <w:rStyle w:val="Hyperlink"/>
                  <w:sz w:val="22"/>
                </w:rPr>
                <w:t>https://pubmed.ncbi.nlm.nih.gov/14637332/</w:t>
              </w:r>
            </w:hyperlink>
          </w:p>
          <w:p w14:paraId="42017D94" w14:textId="545DBF81" w:rsidR="00EE69C2" w:rsidRDefault="00EE69C2">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B6836" w14:textId="6D89694D" w:rsidR="00EE69C2" w:rsidRDefault="00ED375D">
            <w:pPr>
              <w:pStyle w:val="TableRowCentered"/>
              <w:jc w:val="left"/>
              <w:rPr>
                <w:sz w:val="22"/>
              </w:rPr>
            </w:pPr>
            <w:r>
              <w:rPr>
                <w:sz w:val="22"/>
              </w:rPr>
              <w:t>5</w:t>
            </w:r>
          </w:p>
        </w:tc>
      </w:tr>
      <w:tr w:rsidR="00EE69C2" w14:paraId="7821234F" w14:textId="77777777" w:rsidTr="00ED375D">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6206A" w14:textId="77777777" w:rsidR="00EE69C2" w:rsidRDefault="00EE69C2">
            <w:pPr>
              <w:pStyle w:val="TableRow"/>
              <w:rPr>
                <w:i/>
                <w:sz w:val="22"/>
              </w:rPr>
            </w:pPr>
            <w:r w:rsidRPr="00EE69C2">
              <w:rPr>
                <w:i/>
                <w:sz w:val="22"/>
              </w:rPr>
              <w:t>Subsidise school visits</w:t>
            </w:r>
            <w:r>
              <w:rPr>
                <w:i/>
                <w:sz w:val="22"/>
              </w:rPr>
              <w:t>/visitors</w:t>
            </w:r>
            <w:r w:rsidRPr="00EE69C2">
              <w:rPr>
                <w:i/>
                <w:sz w:val="22"/>
              </w:rPr>
              <w:t xml:space="preserve"> and extra -curricular opportunities </w:t>
            </w:r>
            <w:proofErr w:type="spellStart"/>
            <w:r w:rsidRPr="00EE69C2">
              <w:rPr>
                <w:i/>
                <w:sz w:val="22"/>
              </w:rPr>
              <w:t>eg</w:t>
            </w:r>
            <w:proofErr w:type="spellEnd"/>
            <w:r w:rsidRPr="00EE69C2">
              <w:rPr>
                <w:i/>
                <w:sz w:val="22"/>
              </w:rPr>
              <w:t xml:space="preserve">. </w:t>
            </w:r>
            <w:proofErr w:type="gramStart"/>
            <w:r w:rsidRPr="00EE69C2">
              <w:rPr>
                <w:i/>
                <w:sz w:val="22"/>
              </w:rPr>
              <w:t>music</w:t>
            </w:r>
            <w:proofErr w:type="gramEnd"/>
            <w:r w:rsidRPr="00EE69C2">
              <w:rPr>
                <w:i/>
                <w:sz w:val="22"/>
              </w:rPr>
              <w:t xml:space="preserve"> tuition, after school visits.</w:t>
            </w:r>
          </w:p>
          <w:p w14:paraId="52B45BDD" w14:textId="06705F96" w:rsidR="00107A18" w:rsidRPr="00EE69C2" w:rsidRDefault="00107A18">
            <w:pPr>
              <w:pStyle w:val="TableRow"/>
              <w:rPr>
                <w:i/>
                <w:sz w:val="22"/>
              </w:rPr>
            </w:pPr>
            <w:r>
              <w:rPr>
                <w:i/>
                <w:sz w:val="22"/>
              </w:rPr>
              <w:t>(£3000)</w:t>
            </w: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0C71" w14:textId="7F000514" w:rsidR="00EE69C2" w:rsidRDefault="00D86B46" w:rsidP="00107A18">
            <w:pPr>
              <w:pStyle w:val="TableRowCentered"/>
              <w:jc w:val="left"/>
              <w:rPr>
                <w:sz w:val="22"/>
              </w:rPr>
            </w:pPr>
            <w:hyperlink r:id="rId17" w:history="1">
              <w:r w:rsidR="00EE69C2" w:rsidRPr="00EB70FC">
                <w:rPr>
                  <w:rStyle w:val="Hyperlink"/>
                  <w:sz w:val="22"/>
                </w:rPr>
                <w:t>http://www.lotc.org.uk/wp-content/uploads/2013/10/Pupil-Premium-Graham-Lodge-CLOtC-version-for-website-and-newsletter-4-9-13-updated-12-6-14.pdf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B3F1D" w14:textId="7EEFE66B" w:rsidR="00EE69C2" w:rsidRDefault="00ED375D">
            <w:pPr>
              <w:pStyle w:val="TableRowCentered"/>
              <w:jc w:val="left"/>
              <w:rPr>
                <w:sz w:val="22"/>
              </w:rPr>
            </w:pPr>
            <w:r>
              <w:rPr>
                <w:sz w:val="22"/>
              </w:rPr>
              <w:t>5</w:t>
            </w:r>
          </w:p>
        </w:tc>
      </w:tr>
    </w:tbl>
    <w:p w14:paraId="2A7D5541" w14:textId="11F4123A" w:rsidR="00E66558" w:rsidRDefault="009D71E8" w:rsidP="00107A18">
      <w:pPr>
        <w:spacing w:before="240" w:after="0"/>
      </w:pPr>
      <w:r>
        <w:rPr>
          <w:b/>
          <w:bCs/>
          <w:color w:val="104F75"/>
          <w:sz w:val="28"/>
          <w:szCs w:val="28"/>
        </w:rPr>
        <w:t xml:space="preserve">Total budgeted cost: £ </w:t>
      </w:r>
      <w:r w:rsidR="00107A18">
        <w:rPr>
          <w:i/>
          <w:iCs/>
          <w:color w:val="104F75"/>
          <w:sz w:val="28"/>
          <w:szCs w:val="28"/>
        </w:rPr>
        <w:t>107094</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bookmarkEnd w:id="14"/>
      <w:bookmarkEnd w:id="15"/>
      <w:bookmarkEnd w:id="16"/>
    </w:tbl>
    <w:p w14:paraId="2A7D5564" w14:textId="05E45DA8" w:rsidR="00E66558" w:rsidRDefault="00E66558" w:rsidP="00134D32"/>
    <w:tbl>
      <w:tblPr>
        <w:tblStyle w:val="TableGrid"/>
        <w:tblpPr w:leftFromText="180" w:rightFromText="180" w:vertAnchor="text" w:horzAnchor="margin" w:tblpX="-95" w:tblpY="-187"/>
        <w:tblOverlap w:val="never"/>
        <w:tblW w:w="9837" w:type="dxa"/>
        <w:tblLook w:val="04A0" w:firstRow="1" w:lastRow="0" w:firstColumn="1" w:lastColumn="0" w:noHBand="0" w:noVBand="1"/>
      </w:tblPr>
      <w:tblGrid>
        <w:gridCol w:w="3823"/>
        <w:gridCol w:w="1590"/>
        <w:gridCol w:w="2465"/>
        <w:gridCol w:w="1950"/>
        <w:gridCol w:w="9"/>
      </w:tblGrid>
      <w:tr w:rsidR="00EE69C2" w:rsidRPr="003E7BB4" w14:paraId="2CF2122C" w14:textId="77777777" w:rsidTr="00EE69C2">
        <w:tc>
          <w:tcPr>
            <w:tcW w:w="9837" w:type="dxa"/>
            <w:gridSpan w:val="5"/>
            <w:shd w:val="clear" w:color="auto" w:fill="D9D9D9" w:themeFill="background1" w:themeFillShade="D9"/>
          </w:tcPr>
          <w:p w14:paraId="63CC3AA1" w14:textId="77777777" w:rsidR="00EE69C2" w:rsidRPr="003E7BB4" w:rsidRDefault="00EE69C2" w:rsidP="00AB5247">
            <w:pPr>
              <w:pStyle w:val="ListParagraph"/>
              <w:ind w:left="0"/>
              <w:rPr>
                <w:rFonts w:ascii="Arial" w:hAnsi="Arial" w:cs="Arial"/>
                <w:b/>
                <w:sz w:val="28"/>
                <w:szCs w:val="28"/>
              </w:rPr>
            </w:pPr>
            <w:r w:rsidRPr="003E7BB4">
              <w:rPr>
                <w:rFonts w:ascii="Arial" w:hAnsi="Arial" w:cs="Arial"/>
                <w:b/>
                <w:sz w:val="28"/>
                <w:szCs w:val="28"/>
              </w:rPr>
              <w:t>CURR</w:t>
            </w:r>
            <w:r>
              <w:rPr>
                <w:rFonts w:ascii="Arial" w:hAnsi="Arial" w:cs="Arial"/>
                <w:b/>
                <w:sz w:val="28"/>
                <w:szCs w:val="28"/>
              </w:rPr>
              <w:t>ENT ATTAINMENT:  KS2 Outcomes in 2021 (Teacher assessment)</w:t>
            </w:r>
          </w:p>
        </w:tc>
      </w:tr>
      <w:tr w:rsidR="00EE69C2" w:rsidRPr="005A588E" w14:paraId="5179B9AF" w14:textId="77777777" w:rsidTr="00EE69C2">
        <w:trPr>
          <w:gridAfter w:val="1"/>
          <w:wAfter w:w="9" w:type="dxa"/>
        </w:trPr>
        <w:tc>
          <w:tcPr>
            <w:tcW w:w="3823" w:type="dxa"/>
          </w:tcPr>
          <w:p w14:paraId="5DAFFA19" w14:textId="77777777" w:rsidR="00EE69C2" w:rsidRDefault="00EE69C2" w:rsidP="00AB5247">
            <w:pPr>
              <w:pStyle w:val="ListParagraph"/>
              <w:ind w:left="0"/>
              <w:rPr>
                <w:rFonts w:ascii="Arial" w:hAnsi="Arial" w:cs="Arial"/>
                <w:b/>
                <w:sz w:val="28"/>
                <w:szCs w:val="28"/>
              </w:rPr>
            </w:pPr>
            <w:r w:rsidRPr="005A588E">
              <w:rPr>
                <w:rFonts w:ascii="Arial" w:hAnsi="Arial" w:cs="Arial"/>
                <w:b/>
                <w:sz w:val="28"/>
                <w:szCs w:val="28"/>
              </w:rPr>
              <w:t xml:space="preserve">Total pupils: </w:t>
            </w:r>
            <w:r>
              <w:rPr>
                <w:rFonts w:ascii="Arial" w:hAnsi="Arial" w:cs="Arial"/>
                <w:b/>
                <w:sz w:val="28"/>
                <w:szCs w:val="28"/>
              </w:rPr>
              <w:t>60</w:t>
            </w:r>
          </w:p>
          <w:p w14:paraId="431A824C" w14:textId="77777777" w:rsidR="00EE69C2" w:rsidRPr="003E7BB4" w:rsidRDefault="00EE69C2" w:rsidP="00AB5247">
            <w:pPr>
              <w:pStyle w:val="ListParagraph"/>
              <w:ind w:left="0"/>
              <w:rPr>
                <w:rFonts w:ascii="Arial" w:hAnsi="Arial" w:cs="Arial"/>
              </w:rPr>
            </w:pPr>
            <w:r w:rsidRPr="005A588E">
              <w:rPr>
                <w:rFonts w:ascii="Arial" w:hAnsi="Arial" w:cs="Arial"/>
                <w:b/>
                <w:sz w:val="28"/>
                <w:szCs w:val="28"/>
              </w:rPr>
              <w:t>PP :</w:t>
            </w:r>
            <w:r>
              <w:rPr>
                <w:rFonts w:ascii="Arial" w:hAnsi="Arial" w:cs="Arial"/>
                <w:b/>
                <w:sz w:val="28"/>
                <w:szCs w:val="28"/>
              </w:rPr>
              <w:t xml:space="preserve"> 19</w:t>
            </w:r>
          </w:p>
        </w:tc>
        <w:tc>
          <w:tcPr>
            <w:tcW w:w="1590" w:type="dxa"/>
          </w:tcPr>
          <w:p w14:paraId="6B05890E" w14:textId="77777777" w:rsidR="00EE69C2" w:rsidRPr="00ED375D" w:rsidRDefault="00EE69C2" w:rsidP="00ED375D">
            <w:pPr>
              <w:spacing w:after="0"/>
              <w:jc w:val="center"/>
              <w:rPr>
                <w:rFonts w:cs="Arial"/>
                <w:b/>
                <w:sz w:val="18"/>
              </w:rPr>
            </w:pPr>
            <w:r w:rsidRPr="00ED375D">
              <w:rPr>
                <w:rFonts w:cs="Arial"/>
                <w:b/>
                <w:sz w:val="18"/>
              </w:rPr>
              <w:t>Pupils in receipt of PP funding at</w:t>
            </w:r>
          </w:p>
          <w:p w14:paraId="4E67CA0F" w14:textId="77777777" w:rsidR="00EE69C2" w:rsidRPr="00ED375D" w:rsidRDefault="00EE69C2" w:rsidP="00ED375D">
            <w:pPr>
              <w:spacing w:after="0"/>
              <w:jc w:val="center"/>
              <w:rPr>
                <w:rFonts w:cs="Arial"/>
                <w:b/>
                <w:sz w:val="18"/>
              </w:rPr>
            </w:pPr>
            <w:r w:rsidRPr="00ED375D">
              <w:rPr>
                <w:rFonts w:cs="Arial"/>
                <w:b/>
                <w:sz w:val="18"/>
              </w:rPr>
              <w:t xml:space="preserve"> St. Augustine’s</w:t>
            </w:r>
          </w:p>
        </w:tc>
        <w:tc>
          <w:tcPr>
            <w:tcW w:w="2465" w:type="dxa"/>
          </w:tcPr>
          <w:p w14:paraId="7EBF718B" w14:textId="77777777" w:rsidR="00EE69C2" w:rsidRPr="00ED375D" w:rsidRDefault="00EE69C2" w:rsidP="00ED375D">
            <w:pPr>
              <w:spacing w:after="0"/>
              <w:jc w:val="center"/>
              <w:rPr>
                <w:rFonts w:cs="Arial"/>
                <w:b/>
                <w:sz w:val="18"/>
              </w:rPr>
            </w:pPr>
            <w:r w:rsidRPr="00ED375D">
              <w:rPr>
                <w:rFonts w:cs="Arial"/>
                <w:b/>
                <w:sz w:val="18"/>
              </w:rPr>
              <w:t xml:space="preserve">Pupils not in receipt of PP funding at             </w:t>
            </w:r>
          </w:p>
          <w:p w14:paraId="1173E85F" w14:textId="77777777" w:rsidR="00EE69C2" w:rsidRPr="00ED375D" w:rsidRDefault="00EE69C2" w:rsidP="00ED375D">
            <w:pPr>
              <w:spacing w:after="0"/>
              <w:jc w:val="center"/>
              <w:rPr>
                <w:rFonts w:cs="Arial"/>
                <w:b/>
                <w:sz w:val="18"/>
              </w:rPr>
            </w:pPr>
            <w:r w:rsidRPr="00ED375D">
              <w:rPr>
                <w:rFonts w:cs="Arial"/>
                <w:b/>
                <w:sz w:val="18"/>
              </w:rPr>
              <w:t>St. Augustine’s</w:t>
            </w:r>
          </w:p>
        </w:tc>
        <w:tc>
          <w:tcPr>
            <w:tcW w:w="1950" w:type="dxa"/>
          </w:tcPr>
          <w:p w14:paraId="26A63631" w14:textId="77777777" w:rsidR="00EE69C2" w:rsidRPr="00ED375D" w:rsidRDefault="00EE69C2" w:rsidP="00ED375D">
            <w:pPr>
              <w:spacing w:after="0"/>
              <w:jc w:val="center"/>
              <w:rPr>
                <w:rFonts w:cs="Arial"/>
                <w:b/>
                <w:sz w:val="18"/>
              </w:rPr>
            </w:pPr>
            <w:r w:rsidRPr="00ED375D">
              <w:rPr>
                <w:rFonts w:cs="Arial"/>
                <w:b/>
                <w:sz w:val="18"/>
              </w:rPr>
              <w:t>All pupils (national – 2019 SATS)</w:t>
            </w:r>
          </w:p>
        </w:tc>
      </w:tr>
      <w:tr w:rsidR="00EE69C2" w:rsidRPr="00405AE5" w14:paraId="280B0C3F" w14:textId="77777777" w:rsidTr="00EE69C2">
        <w:trPr>
          <w:gridAfter w:val="1"/>
          <w:wAfter w:w="9" w:type="dxa"/>
        </w:trPr>
        <w:tc>
          <w:tcPr>
            <w:tcW w:w="3823" w:type="dxa"/>
          </w:tcPr>
          <w:p w14:paraId="45D55E24" w14:textId="77777777" w:rsidR="00EE69C2" w:rsidRPr="003E7BB4" w:rsidRDefault="00EE69C2" w:rsidP="00AB5247">
            <w:pPr>
              <w:pStyle w:val="ListParagraph"/>
              <w:ind w:left="0"/>
              <w:rPr>
                <w:rFonts w:ascii="Arial" w:hAnsi="Arial" w:cs="Arial"/>
              </w:rPr>
            </w:pPr>
            <w:r w:rsidRPr="005A588E">
              <w:rPr>
                <w:rFonts w:ascii="Arial" w:hAnsi="Arial" w:cs="Arial"/>
                <w:b/>
              </w:rPr>
              <w:t>% achieving ARE in reading, writing and maths combined</w:t>
            </w:r>
          </w:p>
        </w:tc>
        <w:tc>
          <w:tcPr>
            <w:tcW w:w="1590" w:type="dxa"/>
          </w:tcPr>
          <w:p w14:paraId="258976AD" w14:textId="77777777" w:rsidR="00EE69C2" w:rsidRPr="00EE69C2" w:rsidRDefault="00EE69C2" w:rsidP="00EE69C2">
            <w:pPr>
              <w:ind w:left="-360"/>
              <w:jc w:val="center"/>
              <w:rPr>
                <w:rFonts w:cs="Arial"/>
                <w:sz w:val="28"/>
                <w:szCs w:val="28"/>
              </w:rPr>
            </w:pPr>
            <w:r w:rsidRPr="00EE69C2">
              <w:rPr>
                <w:rFonts w:cs="Arial"/>
                <w:sz w:val="28"/>
                <w:szCs w:val="28"/>
              </w:rPr>
              <w:t>68%</w:t>
            </w:r>
          </w:p>
        </w:tc>
        <w:tc>
          <w:tcPr>
            <w:tcW w:w="2465" w:type="dxa"/>
          </w:tcPr>
          <w:p w14:paraId="259A9E65" w14:textId="77777777" w:rsidR="00EE69C2" w:rsidRPr="00EE69C2" w:rsidRDefault="00EE69C2" w:rsidP="00EE69C2">
            <w:pPr>
              <w:ind w:left="-360"/>
              <w:jc w:val="center"/>
              <w:rPr>
                <w:rFonts w:cs="Arial"/>
                <w:sz w:val="28"/>
                <w:szCs w:val="28"/>
              </w:rPr>
            </w:pPr>
            <w:r w:rsidRPr="00EE69C2">
              <w:rPr>
                <w:rFonts w:cs="Arial"/>
                <w:sz w:val="28"/>
                <w:szCs w:val="28"/>
              </w:rPr>
              <w:t>66%</w:t>
            </w:r>
          </w:p>
        </w:tc>
        <w:tc>
          <w:tcPr>
            <w:tcW w:w="1950" w:type="dxa"/>
          </w:tcPr>
          <w:p w14:paraId="37BB5079" w14:textId="77777777" w:rsidR="00EE69C2" w:rsidRPr="00EE69C2" w:rsidRDefault="00EE69C2" w:rsidP="00EE69C2">
            <w:pPr>
              <w:ind w:left="-360"/>
              <w:jc w:val="center"/>
              <w:rPr>
                <w:rFonts w:cs="Arial"/>
                <w:sz w:val="28"/>
                <w:szCs w:val="28"/>
              </w:rPr>
            </w:pPr>
            <w:r w:rsidRPr="00EE69C2">
              <w:rPr>
                <w:rFonts w:cs="Arial"/>
                <w:b/>
                <w:sz w:val="28"/>
                <w:szCs w:val="28"/>
              </w:rPr>
              <w:t xml:space="preserve">65% </w:t>
            </w:r>
          </w:p>
        </w:tc>
      </w:tr>
      <w:tr w:rsidR="00EE69C2" w:rsidRPr="00405AE5" w14:paraId="0F4D424E" w14:textId="77777777" w:rsidTr="00EE69C2">
        <w:trPr>
          <w:gridAfter w:val="1"/>
          <w:wAfter w:w="9" w:type="dxa"/>
        </w:trPr>
        <w:tc>
          <w:tcPr>
            <w:tcW w:w="3823" w:type="dxa"/>
          </w:tcPr>
          <w:p w14:paraId="4AE1A201" w14:textId="77777777" w:rsidR="00EE69C2" w:rsidRPr="003E7BB4" w:rsidRDefault="00EE69C2" w:rsidP="00AB5247">
            <w:pPr>
              <w:pStyle w:val="ListParagraph"/>
              <w:ind w:left="0"/>
              <w:rPr>
                <w:rFonts w:ascii="Arial" w:hAnsi="Arial" w:cs="Arial"/>
              </w:rPr>
            </w:pPr>
            <w:r>
              <w:rPr>
                <w:rFonts w:ascii="Arial" w:hAnsi="Arial" w:cs="Arial"/>
                <w:b/>
              </w:rPr>
              <w:t>% achieving ARE in reading</w:t>
            </w:r>
          </w:p>
        </w:tc>
        <w:tc>
          <w:tcPr>
            <w:tcW w:w="1590" w:type="dxa"/>
          </w:tcPr>
          <w:p w14:paraId="4D10E764" w14:textId="77777777" w:rsidR="00EE69C2" w:rsidRPr="00EE69C2" w:rsidRDefault="00EE69C2" w:rsidP="00EE69C2">
            <w:pPr>
              <w:ind w:left="-360"/>
              <w:jc w:val="center"/>
              <w:rPr>
                <w:rFonts w:cs="Arial"/>
                <w:sz w:val="28"/>
                <w:szCs w:val="28"/>
              </w:rPr>
            </w:pPr>
            <w:r w:rsidRPr="00EE69C2">
              <w:rPr>
                <w:rFonts w:cs="Arial"/>
                <w:sz w:val="28"/>
                <w:szCs w:val="28"/>
              </w:rPr>
              <w:t>74%</w:t>
            </w:r>
          </w:p>
        </w:tc>
        <w:tc>
          <w:tcPr>
            <w:tcW w:w="2465" w:type="dxa"/>
          </w:tcPr>
          <w:p w14:paraId="1C89B7CE" w14:textId="77777777" w:rsidR="00EE69C2" w:rsidRPr="00EE69C2" w:rsidRDefault="00EE69C2" w:rsidP="00EE69C2">
            <w:pPr>
              <w:ind w:left="-360"/>
              <w:jc w:val="center"/>
              <w:rPr>
                <w:rFonts w:cs="Arial"/>
                <w:sz w:val="28"/>
                <w:szCs w:val="28"/>
              </w:rPr>
            </w:pPr>
            <w:r w:rsidRPr="00EE69C2">
              <w:rPr>
                <w:rFonts w:cs="Arial"/>
                <w:sz w:val="28"/>
                <w:szCs w:val="28"/>
              </w:rPr>
              <w:t>76%</w:t>
            </w:r>
          </w:p>
        </w:tc>
        <w:tc>
          <w:tcPr>
            <w:tcW w:w="1950" w:type="dxa"/>
          </w:tcPr>
          <w:p w14:paraId="6A5D1075" w14:textId="77777777" w:rsidR="00EE69C2" w:rsidRPr="00EE69C2" w:rsidRDefault="00EE69C2" w:rsidP="00EE69C2">
            <w:pPr>
              <w:ind w:left="-360"/>
              <w:jc w:val="center"/>
              <w:rPr>
                <w:rFonts w:cs="Arial"/>
                <w:sz w:val="28"/>
                <w:szCs w:val="28"/>
              </w:rPr>
            </w:pPr>
            <w:r w:rsidRPr="00EE69C2">
              <w:rPr>
                <w:rFonts w:cs="Arial"/>
                <w:b/>
                <w:sz w:val="28"/>
                <w:szCs w:val="28"/>
              </w:rPr>
              <w:t xml:space="preserve">73% </w:t>
            </w:r>
          </w:p>
        </w:tc>
      </w:tr>
      <w:tr w:rsidR="00EE69C2" w:rsidRPr="00405AE5" w14:paraId="05B1DB8D" w14:textId="77777777" w:rsidTr="00EE69C2">
        <w:trPr>
          <w:gridAfter w:val="1"/>
          <w:wAfter w:w="9" w:type="dxa"/>
        </w:trPr>
        <w:tc>
          <w:tcPr>
            <w:tcW w:w="3823" w:type="dxa"/>
          </w:tcPr>
          <w:p w14:paraId="21F57019" w14:textId="77777777" w:rsidR="00EE69C2" w:rsidRPr="003E7BB4" w:rsidRDefault="00EE69C2" w:rsidP="00AB5247">
            <w:pPr>
              <w:pStyle w:val="ListParagraph"/>
              <w:ind w:left="0"/>
              <w:rPr>
                <w:rFonts w:ascii="Arial" w:hAnsi="Arial" w:cs="Arial"/>
              </w:rPr>
            </w:pPr>
            <w:r>
              <w:rPr>
                <w:rFonts w:ascii="Arial" w:hAnsi="Arial" w:cs="Arial"/>
                <w:b/>
              </w:rPr>
              <w:t>% achieving ARE in writing</w:t>
            </w:r>
          </w:p>
        </w:tc>
        <w:tc>
          <w:tcPr>
            <w:tcW w:w="1590" w:type="dxa"/>
          </w:tcPr>
          <w:p w14:paraId="5FDA26AD" w14:textId="77777777" w:rsidR="00EE69C2" w:rsidRPr="00EE69C2" w:rsidRDefault="00EE69C2" w:rsidP="00EE69C2">
            <w:pPr>
              <w:ind w:left="-360"/>
              <w:jc w:val="center"/>
              <w:rPr>
                <w:rFonts w:cs="Arial"/>
                <w:sz w:val="28"/>
                <w:szCs w:val="28"/>
              </w:rPr>
            </w:pPr>
            <w:r w:rsidRPr="00EE69C2">
              <w:rPr>
                <w:rFonts w:cs="Arial"/>
                <w:sz w:val="28"/>
                <w:szCs w:val="28"/>
              </w:rPr>
              <w:t>74%</w:t>
            </w:r>
          </w:p>
        </w:tc>
        <w:tc>
          <w:tcPr>
            <w:tcW w:w="2465" w:type="dxa"/>
          </w:tcPr>
          <w:p w14:paraId="4F0AB282" w14:textId="77777777" w:rsidR="00EE69C2" w:rsidRPr="00EE69C2" w:rsidRDefault="00EE69C2" w:rsidP="00EE69C2">
            <w:pPr>
              <w:ind w:left="-360"/>
              <w:jc w:val="center"/>
              <w:rPr>
                <w:rFonts w:cs="Arial"/>
                <w:sz w:val="28"/>
                <w:szCs w:val="28"/>
              </w:rPr>
            </w:pPr>
            <w:r w:rsidRPr="00EE69C2">
              <w:rPr>
                <w:rFonts w:cs="Arial"/>
                <w:sz w:val="28"/>
                <w:szCs w:val="28"/>
              </w:rPr>
              <w:t>66%</w:t>
            </w:r>
          </w:p>
        </w:tc>
        <w:tc>
          <w:tcPr>
            <w:tcW w:w="1950" w:type="dxa"/>
          </w:tcPr>
          <w:p w14:paraId="686F0223" w14:textId="77777777" w:rsidR="00EE69C2" w:rsidRPr="00EE69C2" w:rsidRDefault="00EE69C2" w:rsidP="00EE69C2">
            <w:pPr>
              <w:ind w:left="-360"/>
              <w:jc w:val="center"/>
              <w:rPr>
                <w:rFonts w:cs="Arial"/>
                <w:sz w:val="28"/>
                <w:szCs w:val="28"/>
              </w:rPr>
            </w:pPr>
            <w:r w:rsidRPr="00EE69C2">
              <w:rPr>
                <w:rFonts w:cs="Arial"/>
                <w:b/>
                <w:sz w:val="28"/>
                <w:szCs w:val="28"/>
              </w:rPr>
              <w:t xml:space="preserve">78% </w:t>
            </w:r>
          </w:p>
        </w:tc>
      </w:tr>
      <w:tr w:rsidR="00EE69C2" w:rsidRPr="00405AE5" w14:paraId="540F873D" w14:textId="77777777" w:rsidTr="00EE69C2">
        <w:trPr>
          <w:gridAfter w:val="1"/>
          <w:wAfter w:w="9" w:type="dxa"/>
        </w:trPr>
        <w:tc>
          <w:tcPr>
            <w:tcW w:w="3823" w:type="dxa"/>
          </w:tcPr>
          <w:p w14:paraId="134053BE" w14:textId="77777777" w:rsidR="00EE69C2" w:rsidRPr="003E7BB4" w:rsidRDefault="00EE69C2" w:rsidP="00AB5247">
            <w:pPr>
              <w:pStyle w:val="ListParagraph"/>
              <w:ind w:left="0"/>
              <w:rPr>
                <w:rFonts w:ascii="Arial" w:hAnsi="Arial" w:cs="Arial"/>
              </w:rPr>
            </w:pPr>
            <w:r w:rsidRPr="005A588E">
              <w:rPr>
                <w:rFonts w:ascii="Arial" w:hAnsi="Arial" w:cs="Arial"/>
                <w:b/>
              </w:rPr>
              <w:t>% achieving ARE in maths</w:t>
            </w:r>
          </w:p>
        </w:tc>
        <w:tc>
          <w:tcPr>
            <w:tcW w:w="1590" w:type="dxa"/>
          </w:tcPr>
          <w:p w14:paraId="25D9573F" w14:textId="77777777" w:rsidR="00EE69C2" w:rsidRPr="00EE69C2" w:rsidRDefault="00EE69C2" w:rsidP="00EE69C2">
            <w:pPr>
              <w:ind w:left="-360"/>
              <w:jc w:val="center"/>
              <w:rPr>
                <w:rFonts w:cs="Arial"/>
                <w:sz w:val="28"/>
                <w:szCs w:val="28"/>
              </w:rPr>
            </w:pPr>
            <w:r w:rsidRPr="00EE69C2">
              <w:rPr>
                <w:rFonts w:cs="Arial"/>
                <w:sz w:val="28"/>
                <w:szCs w:val="28"/>
              </w:rPr>
              <w:t>68%</w:t>
            </w:r>
          </w:p>
        </w:tc>
        <w:tc>
          <w:tcPr>
            <w:tcW w:w="2465" w:type="dxa"/>
          </w:tcPr>
          <w:p w14:paraId="1DF4E0B5" w14:textId="77777777" w:rsidR="00EE69C2" w:rsidRPr="00EE69C2" w:rsidRDefault="00EE69C2" w:rsidP="00EE69C2">
            <w:pPr>
              <w:ind w:left="-360"/>
              <w:jc w:val="center"/>
              <w:rPr>
                <w:rFonts w:cs="Arial"/>
                <w:sz w:val="28"/>
                <w:szCs w:val="28"/>
              </w:rPr>
            </w:pPr>
            <w:r w:rsidRPr="00EE69C2">
              <w:rPr>
                <w:rFonts w:cs="Arial"/>
                <w:sz w:val="28"/>
                <w:szCs w:val="28"/>
              </w:rPr>
              <w:t>73%</w:t>
            </w:r>
          </w:p>
        </w:tc>
        <w:tc>
          <w:tcPr>
            <w:tcW w:w="1950" w:type="dxa"/>
          </w:tcPr>
          <w:p w14:paraId="565D4AE8" w14:textId="77777777" w:rsidR="00EE69C2" w:rsidRPr="00EE69C2" w:rsidRDefault="00EE69C2" w:rsidP="00EE69C2">
            <w:pPr>
              <w:ind w:left="-360"/>
              <w:jc w:val="center"/>
              <w:rPr>
                <w:rFonts w:cs="Arial"/>
                <w:sz w:val="28"/>
                <w:szCs w:val="28"/>
              </w:rPr>
            </w:pPr>
            <w:r w:rsidRPr="00EE69C2">
              <w:rPr>
                <w:rFonts w:cs="Arial"/>
                <w:b/>
                <w:sz w:val="28"/>
                <w:szCs w:val="28"/>
              </w:rPr>
              <w:t xml:space="preserve">79% </w:t>
            </w:r>
          </w:p>
        </w:tc>
      </w:tr>
    </w:tbl>
    <w:p w14:paraId="24E9A0AB" w14:textId="2663E8BE" w:rsidR="00EE69C2" w:rsidRDefault="00EE69C2" w:rsidP="00134D32"/>
    <w:p w14:paraId="61E47FF6" w14:textId="05E595D2" w:rsidR="00ED375D" w:rsidRPr="00ED375D" w:rsidRDefault="00ED375D" w:rsidP="00134D32">
      <w:pPr>
        <w:rPr>
          <w:b/>
          <w:u w:val="single"/>
        </w:rPr>
      </w:pPr>
      <w:r w:rsidRPr="00ED375D">
        <w:rPr>
          <w:b/>
          <w:u w:val="single"/>
        </w:rPr>
        <w:t>Outcomes from previous year (2020-21) Pupil Premium allocation: (See 2020-21 Pupil Premium statement for detailed breakdown)</w:t>
      </w:r>
    </w:p>
    <w:p w14:paraId="4AAF02E0" w14:textId="77777777" w:rsidR="00ED375D" w:rsidRDefault="00ED375D" w:rsidP="00ED375D">
      <w:pPr>
        <w:pStyle w:val="ListParagraph"/>
        <w:numPr>
          <w:ilvl w:val="0"/>
          <w:numId w:val="15"/>
        </w:numPr>
      </w:pPr>
      <w:r>
        <w:t>74% of PP children across whole school made expected or above progress during 2020-2021, compared to 58% the year before</w:t>
      </w:r>
    </w:p>
    <w:p w14:paraId="370E1D92" w14:textId="77777777" w:rsidR="00ED375D" w:rsidRDefault="00ED375D" w:rsidP="00ED375D">
      <w:pPr>
        <w:pStyle w:val="ListParagraph"/>
        <w:numPr>
          <w:ilvl w:val="0"/>
          <w:numId w:val="15"/>
        </w:numPr>
      </w:pPr>
      <w:r>
        <w:t>79% of PP children at the end of KS2 made expected progress in reading, compared to 76% of non PP children</w:t>
      </w:r>
    </w:p>
    <w:p w14:paraId="33914DD8" w14:textId="77777777" w:rsidR="00ED375D" w:rsidRDefault="00ED375D" w:rsidP="00ED375D">
      <w:pPr>
        <w:pStyle w:val="ListParagraph"/>
        <w:numPr>
          <w:ilvl w:val="0"/>
          <w:numId w:val="15"/>
        </w:numPr>
      </w:pPr>
      <w:r>
        <w:t xml:space="preserve">All vulnerable children engaged in remote learning during bubble closures and national lockdown during Jan/Feb. Family Support Worker in regular </w:t>
      </w:r>
      <w:r>
        <w:lastRenderedPageBreak/>
        <w:t>communication with vulnerable groups throughout lockdown to ensure and concerns alleviated and children were the best supported they could be.</w:t>
      </w:r>
    </w:p>
    <w:p w14:paraId="68642F35" w14:textId="77777777" w:rsidR="00ED375D" w:rsidRDefault="00ED375D" w:rsidP="00ED375D">
      <w:pPr>
        <w:pStyle w:val="ListParagraph"/>
        <w:numPr>
          <w:ilvl w:val="0"/>
          <w:numId w:val="15"/>
        </w:numPr>
      </w:pPr>
      <w:r>
        <w:t>PP children able to discuss targets and share concerns with YW – leading to improved attainment and engagement.</w:t>
      </w:r>
    </w:p>
    <w:p w14:paraId="6673F8FD" w14:textId="77777777" w:rsidR="00ED375D" w:rsidRDefault="00ED375D" w:rsidP="00ED375D">
      <w:pPr>
        <w:pStyle w:val="ListParagraph"/>
        <w:numPr>
          <w:ilvl w:val="0"/>
          <w:numId w:val="15"/>
        </w:numPr>
      </w:pPr>
      <w:r>
        <w:t>PP children engaged in learning as a result of concerns being shared with learning mentor and appropriate safeguarding actions where necessary.</w:t>
      </w:r>
    </w:p>
    <w:p w14:paraId="0A2401F7" w14:textId="77777777" w:rsidR="00ED375D" w:rsidRDefault="00ED375D" w:rsidP="00ED375D">
      <w:pPr>
        <w:pStyle w:val="ListParagraph"/>
        <w:numPr>
          <w:ilvl w:val="0"/>
          <w:numId w:val="15"/>
        </w:numPr>
      </w:pPr>
      <w:r>
        <w:t>Forest School sessions have ensured all children have engaged, improving the Cultural Capital of our PP children and ensuring non-academic talents are recognised. Better engagement in class as a result.</w:t>
      </w:r>
    </w:p>
    <w:p w14:paraId="226C2478" w14:textId="77777777" w:rsidR="00ED375D" w:rsidRDefault="00ED375D" w:rsidP="00ED375D">
      <w:pPr>
        <w:pStyle w:val="ListParagraph"/>
        <w:numPr>
          <w:ilvl w:val="0"/>
          <w:numId w:val="15"/>
        </w:numPr>
      </w:pPr>
      <w:r>
        <w:t>74% of PP children across whole school made expected or above progress in reading during 2020-2021, compared to 58% the year before</w:t>
      </w:r>
    </w:p>
    <w:p w14:paraId="29BFCADD" w14:textId="77777777" w:rsidR="00ED375D" w:rsidRDefault="00ED375D" w:rsidP="00ED375D">
      <w:pPr>
        <w:pStyle w:val="ListParagraph"/>
        <w:numPr>
          <w:ilvl w:val="0"/>
          <w:numId w:val="15"/>
        </w:numPr>
      </w:pPr>
      <w:r>
        <w:t>79% of PP children at the end of KS2 made expected progress in reading, compared to 76% of non PP children</w:t>
      </w:r>
    </w:p>
    <w:p w14:paraId="3DD64DC3" w14:textId="77777777" w:rsidR="00ED375D" w:rsidRDefault="00ED375D" w:rsidP="00ED375D">
      <w:pPr>
        <w:pStyle w:val="ListParagraph"/>
        <w:numPr>
          <w:ilvl w:val="0"/>
          <w:numId w:val="15"/>
        </w:numPr>
      </w:pPr>
      <w:r>
        <w:t>Vulnerable children with SEMH needs are met. Children better engaged in class as a result.</w:t>
      </w:r>
    </w:p>
    <w:p w14:paraId="617204A2" w14:textId="77777777" w:rsidR="00ED375D" w:rsidRDefault="00ED375D" w:rsidP="00ED375D">
      <w:pPr>
        <w:pStyle w:val="ListParagraph"/>
        <w:numPr>
          <w:ilvl w:val="0"/>
          <w:numId w:val="15"/>
        </w:numPr>
      </w:pPr>
      <w:r>
        <w:t>PIXL training has ensured that this is an effective resource for diagnosing and prescribing ‘therapies’ in order to fill gaps in children’s learning</w:t>
      </w:r>
    </w:p>
    <w:p w14:paraId="6E28B009" w14:textId="77777777" w:rsidR="00ED375D" w:rsidRDefault="00ED375D" w:rsidP="00ED375D">
      <w:pPr>
        <w:pStyle w:val="ListParagraph"/>
        <w:numPr>
          <w:ilvl w:val="0"/>
          <w:numId w:val="15"/>
        </w:numPr>
      </w:pPr>
      <w:r>
        <w:t>52% of PP children have attained at EXP or above across KS2 in maths during 2020-21</w:t>
      </w:r>
    </w:p>
    <w:p w14:paraId="29F64CC5" w14:textId="77777777" w:rsidR="00ED375D" w:rsidRDefault="00ED375D" w:rsidP="00ED375D">
      <w:pPr>
        <w:pStyle w:val="ListParagraph"/>
        <w:numPr>
          <w:ilvl w:val="0"/>
          <w:numId w:val="15"/>
        </w:numPr>
      </w:pPr>
      <w:r>
        <w:t>61% of PP children have made expected or better progress across KS2 in maths during 2020-21</w:t>
      </w:r>
    </w:p>
    <w:p w14:paraId="68EBF303" w14:textId="77777777" w:rsidR="00ED375D" w:rsidRDefault="00ED375D" w:rsidP="00ED375D">
      <w:pPr>
        <w:pStyle w:val="ListParagraph"/>
        <w:numPr>
          <w:ilvl w:val="0"/>
          <w:numId w:val="15"/>
        </w:numPr>
      </w:pPr>
      <w:r>
        <w:t>All PP children have started the school day having had breakfast</w:t>
      </w:r>
    </w:p>
    <w:p w14:paraId="3ED6A4F0" w14:textId="77777777" w:rsidR="00ED375D" w:rsidRDefault="00ED375D" w:rsidP="00ED375D">
      <w:pPr>
        <w:pStyle w:val="ListParagraph"/>
        <w:numPr>
          <w:ilvl w:val="0"/>
          <w:numId w:val="15"/>
        </w:numPr>
      </w:pPr>
      <w:r>
        <w:t xml:space="preserve">TA impact on PP children has improved. Core Team meetings to be reinstated as of September to ensure TA involvement and knowledge of key </w:t>
      </w:r>
      <w:proofErr w:type="spellStart"/>
      <w:r>
        <w:t>chn</w:t>
      </w:r>
      <w:proofErr w:type="spellEnd"/>
      <w:r>
        <w:t>.</w:t>
      </w:r>
    </w:p>
    <w:p w14:paraId="4B8265C7" w14:textId="77777777" w:rsidR="00ED375D" w:rsidRDefault="00ED375D" w:rsidP="00ED375D">
      <w:pPr>
        <w:pStyle w:val="ListParagraph"/>
        <w:numPr>
          <w:ilvl w:val="0"/>
          <w:numId w:val="15"/>
        </w:numPr>
      </w:pPr>
      <w:r>
        <w:t>74% of PP children across whole school made expected or above progress in reading during 2020-2021, compared to 58% the year before</w:t>
      </w:r>
    </w:p>
    <w:p w14:paraId="64874DEB" w14:textId="77777777" w:rsidR="00ED375D" w:rsidRDefault="00ED375D" w:rsidP="00ED375D">
      <w:pPr>
        <w:pStyle w:val="ListParagraph"/>
        <w:numPr>
          <w:ilvl w:val="0"/>
          <w:numId w:val="15"/>
        </w:numPr>
      </w:pPr>
      <w:r>
        <w:t>79% of PP children at the end of KS2 made expected progress in reading, compared to 76% of non PP children</w:t>
      </w:r>
    </w:p>
    <w:p w14:paraId="6866CEC3" w14:textId="11274A8F" w:rsidR="00ED375D" w:rsidRDefault="00ED375D" w:rsidP="00ED375D">
      <w:pPr>
        <w:pStyle w:val="ListParagraph"/>
        <w:numPr>
          <w:ilvl w:val="0"/>
          <w:numId w:val="15"/>
        </w:numPr>
      </w:pPr>
      <w:r>
        <w:t>Funding for pupil premium children for panto.</w:t>
      </w:r>
    </w:p>
    <w:p w14:paraId="4B17041A" w14:textId="77777777" w:rsidR="00ED375D" w:rsidRDefault="00ED375D" w:rsidP="00ED375D">
      <w:pPr>
        <w:pStyle w:val="ListParagraph"/>
        <w:numPr>
          <w:ilvl w:val="0"/>
          <w:numId w:val="15"/>
        </w:numPr>
      </w:pPr>
      <w:r>
        <w:t>Development of Cultural Capital</w:t>
      </w:r>
    </w:p>
    <w:p w14:paraId="4D053D8D" w14:textId="77777777" w:rsidR="00ED375D" w:rsidRDefault="00ED375D" w:rsidP="00ED375D">
      <w:pPr>
        <w:pStyle w:val="ListParagraph"/>
        <w:numPr>
          <w:ilvl w:val="0"/>
          <w:numId w:val="15"/>
        </w:numPr>
      </w:pPr>
      <w:r>
        <w:t>Family liaison worker collected key children during lockdown to ensure they were in school and safeguarding needs met.</w:t>
      </w:r>
    </w:p>
    <w:p w14:paraId="5D171779" w14:textId="77777777" w:rsidR="00ED375D" w:rsidRDefault="00ED375D" w:rsidP="00ED375D">
      <w:pPr>
        <w:pStyle w:val="ListParagraph"/>
        <w:numPr>
          <w:ilvl w:val="0"/>
          <w:numId w:val="15"/>
        </w:numPr>
      </w:pPr>
      <w:r>
        <w:t>Significantly down during Spring Term (lockdown)</w:t>
      </w:r>
    </w:p>
    <w:p w14:paraId="59EC6136" w14:textId="77777777" w:rsidR="00ED375D" w:rsidRDefault="00ED375D" w:rsidP="00ED375D">
      <w:pPr>
        <w:pStyle w:val="ListParagraph"/>
        <w:numPr>
          <w:ilvl w:val="0"/>
          <w:numId w:val="15"/>
        </w:numPr>
      </w:pPr>
      <w:r>
        <w:t>Physical needs met for children requiring OT</w:t>
      </w:r>
    </w:p>
    <w:p w14:paraId="5C5A2FCE" w14:textId="77777777" w:rsidR="00ED375D" w:rsidRDefault="00ED375D" w:rsidP="00ED375D">
      <w:pPr>
        <w:pStyle w:val="ListParagraph"/>
        <w:numPr>
          <w:ilvl w:val="0"/>
          <w:numId w:val="15"/>
        </w:numPr>
      </w:pPr>
      <w:r>
        <w:t>Consistent approach to spelling in place.</w:t>
      </w:r>
    </w:p>
    <w:p w14:paraId="0AE8CDDA" w14:textId="77777777" w:rsidR="00ED375D" w:rsidRDefault="00ED375D" w:rsidP="00ED375D">
      <w:pPr>
        <w:pStyle w:val="ListParagraph"/>
        <w:numPr>
          <w:ilvl w:val="0"/>
          <w:numId w:val="15"/>
        </w:numPr>
      </w:pPr>
      <w:r>
        <w:t>Vulnerable children with SEMH needs are met. Children better engaged in class as a result.</w:t>
      </w:r>
    </w:p>
    <w:p w14:paraId="53B15DD9" w14:textId="202DD9C5" w:rsidR="00ED375D" w:rsidRDefault="00ED375D" w:rsidP="00ED375D">
      <w:pPr>
        <w:pStyle w:val="ListParagraph"/>
        <w:numPr>
          <w:ilvl w:val="0"/>
          <w:numId w:val="15"/>
        </w:numPr>
      </w:pPr>
      <w:r>
        <w:t>Parents informed about decisions and challenges. Parental feedback appreciative of this (see questionnaire)</w:t>
      </w:r>
    </w:p>
    <w:p w14:paraId="2555D248" w14:textId="77777777" w:rsidR="00DE26BE" w:rsidRDefault="00DE26BE" w:rsidP="00134D32"/>
    <w:sectPr w:rsidR="00DE26BE" w:rsidSect="00107A18">
      <w:headerReference w:type="default" r:id="rId18"/>
      <w:footerReference w:type="default" r:id="rId19"/>
      <w:pgSz w:w="11906" w:h="16838"/>
      <w:pgMar w:top="1134" w:right="1276"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8DCEC" w14:textId="77777777" w:rsidR="00D86B46" w:rsidRDefault="00D86B46">
      <w:pPr>
        <w:spacing w:after="0" w:line="240" w:lineRule="auto"/>
      </w:pPr>
      <w:r>
        <w:separator/>
      </w:r>
    </w:p>
  </w:endnote>
  <w:endnote w:type="continuationSeparator" w:id="0">
    <w:p w14:paraId="58B9B78F" w14:textId="77777777" w:rsidR="00D86B46" w:rsidRDefault="00D8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A40546A" w:rsidR="006D77F9" w:rsidRDefault="009D71E8">
    <w:pPr>
      <w:pStyle w:val="Footer"/>
      <w:ind w:firstLine="4513"/>
    </w:pPr>
    <w:r>
      <w:fldChar w:fldCharType="begin"/>
    </w:r>
    <w:r>
      <w:instrText xml:space="preserve"> PAGE </w:instrText>
    </w:r>
    <w:r>
      <w:fldChar w:fldCharType="separate"/>
    </w:r>
    <w:r w:rsidR="00107A1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728AA" w14:textId="77777777" w:rsidR="00D86B46" w:rsidRDefault="00D86B46">
      <w:pPr>
        <w:spacing w:after="0" w:line="240" w:lineRule="auto"/>
      </w:pPr>
      <w:r>
        <w:separator/>
      </w:r>
    </w:p>
  </w:footnote>
  <w:footnote w:type="continuationSeparator" w:id="0">
    <w:p w14:paraId="7D6A1628" w14:textId="77777777" w:rsidR="00D86B46" w:rsidRDefault="00D86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6D77F9" w:rsidRDefault="006D7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3FE4"/>
    <w:multiLevelType w:val="hybridMultilevel"/>
    <w:tmpl w:val="BB38C3BA"/>
    <w:lvl w:ilvl="0" w:tplc="58FC40DC">
      <w:start w:val="201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0077573"/>
    <w:multiLevelType w:val="hybridMultilevel"/>
    <w:tmpl w:val="39FE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2761"/>
    <w:rsid w:val="00066B73"/>
    <w:rsid w:val="00107A18"/>
    <w:rsid w:val="00120AB1"/>
    <w:rsid w:val="00134D32"/>
    <w:rsid w:val="002C367A"/>
    <w:rsid w:val="004044AA"/>
    <w:rsid w:val="0041751F"/>
    <w:rsid w:val="00446E6D"/>
    <w:rsid w:val="006D77F9"/>
    <w:rsid w:val="006E7FB1"/>
    <w:rsid w:val="00741B9E"/>
    <w:rsid w:val="007C2F04"/>
    <w:rsid w:val="00811C92"/>
    <w:rsid w:val="009D71E8"/>
    <w:rsid w:val="00AD4A5E"/>
    <w:rsid w:val="00BD2E59"/>
    <w:rsid w:val="00C53848"/>
    <w:rsid w:val="00CA7CB4"/>
    <w:rsid w:val="00D33FE5"/>
    <w:rsid w:val="00D750D6"/>
    <w:rsid w:val="00D86B46"/>
    <w:rsid w:val="00DE26BE"/>
    <w:rsid w:val="00E66558"/>
    <w:rsid w:val="00ED375D"/>
    <w:rsid w:val="00ED387A"/>
    <w:rsid w:val="00EE69C2"/>
    <w:rsid w:val="00FE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499D52A7-960F-42F1-9C8E-03060570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EE69C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andbox.educationendowmentfoundation.org.uk/education-evidence/teaching-learning-toolkit/feedback" TargetMode="External"/><Relationship Id="rId13" Type="http://schemas.openxmlformats.org/officeDocument/2006/relationships/hyperlink" Target="https://sandbox.educationendowmentfoundation.org.uk/education-evidence/teaching-learning-toolkit/reading-comprehension-strategi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orestresearch.gov.uk/documents/805/fr0112forestschoolsreport.pdf" TargetMode="External"/><Relationship Id="rId12" Type="http://schemas.openxmlformats.org/officeDocument/2006/relationships/hyperlink" Target="https://educationendowmentfoundation.org.uk/education-evidence/teaching-learning-toolkit/small-group-tuition" TargetMode="External"/><Relationship Id="rId17" Type="http://schemas.openxmlformats.org/officeDocument/2006/relationships/hyperlink" Target="http://www.lotc.org.uk/wp-content/uploads/2013/10/Pupil-Premium-Graham-Lodge-CLOtC-version-for-website-and-newsletter-4-9-13-updated-12-6-14.pdf" TargetMode="External"/><Relationship Id="rId2" Type="http://schemas.openxmlformats.org/officeDocument/2006/relationships/styles" Target="styles.xml"/><Relationship Id="rId16" Type="http://schemas.openxmlformats.org/officeDocument/2006/relationships/hyperlink" Target="https://pubmed.ncbi.nlm.nih.gov/1463733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parental-engagement"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social-and-emotional-learning" TargetMode="External"/><Relationship Id="rId10" Type="http://schemas.openxmlformats.org/officeDocument/2006/relationships/hyperlink" Target="https://educationendowmentfoundation.org.uk/education-evidence/teaching-learning-toolkit/teaching-assistant-interven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mastery-learning" TargetMode="External"/><Relationship Id="rId14" Type="http://schemas.openxmlformats.org/officeDocument/2006/relationships/hyperlink" Target="https://doncasterchildcare.proceduresonline.com/pdfs/parent_fam_support_f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1829</TotalTime>
  <Pages>7</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Sam Brunt</cp:lastModifiedBy>
  <cp:revision>2</cp:revision>
  <cp:lastPrinted>2014-09-17T13:26:00Z</cp:lastPrinted>
  <dcterms:created xsi:type="dcterms:W3CDTF">2021-09-08T10:12:00Z</dcterms:created>
  <dcterms:modified xsi:type="dcterms:W3CDTF">2021-09-24T13:10:00Z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